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3BC7D1C"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6662CB">
        <w:rPr>
          <w:bCs/>
          <w:noProof w:val="0"/>
          <w:sz w:val="24"/>
          <w:szCs w:val="24"/>
        </w:rPr>
        <w:t>10634</w:t>
      </w:r>
    </w:p>
    <w:p w14:paraId="11776FA6" w14:textId="27F2DE82"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B4EF12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956E4">
        <w:rPr>
          <w:rFonts w:cs="Arial"/>
          <w:b/>
          <w:bCs/>
          <w:sz w:val="24"/>
          <w:lang w:eastAsia="ja-JP"/>
        </w:rPr>
        <w:t>7.4.2.1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9706BB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7914">
        <w:rPr>
          <w:rFonts w:ascii="Arial" w:hAnsi="Arial" w:cs="Arial"/>
          <w:b/>
          <w:bCs/>
          <w:sz w:val="24"/>
        </w:rPr>
        <w:t xml:space="preserve">On SCG </w:t>
      </w:r>
      <w:r w:rsidR="006662CB">
        <w:rPr>
          <w:rFonts w:ascii="Arial" w:hAnsi="Arial" w:cs="Arial"/>
          <w:b/>
          <w:bCs/>
          <w:sz w:val="24"/>
        </w:rPr>
        <w:t>R</w:t>
      </w:r>
      <w:r w:rsidR="00517914">
        <w:rPr>
          <w:rFonts w:ascii="Arial" w:hAnsi="Arial" w:cs="Arial"/>
          <w:b/>
          <w:bCs/>
          <w:sz w:val="24"/>
        </w:rPr>
        <w:t>elease in LTM</w:t>
      </w:r>
    </w:p>
    <w:p w14:paraId="25F387E8" w14:textId="49D3766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C65C4" w:rsidRPr="008D0150">
        <w:rPr>
          <w:rFonts w:ascii="Arial" w:hAnsi="Arial" w:cs="Arial"/>
          <w:b/>
          <w:bCs/>
          <w:sz w:val="24"/>
        </w:rPr>
        <w:t>NR_Mob_enh2-Core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01CEA493" w:rsidR="00A209D6" w:rsidRDefault="00A209D6" w:rsidP="00A209D6">
      <w:pPr>
        <w:pStyle w:val="Heading1"/>
      </w:pPr>
      <w:r w:rsidRPr="006E13D1">
        <w:t>1</w:t>
      </w:r>
      <w:r w:rsidRPr="006E13D1">
        <w:tab/>
      </w:r>
      <w:r>
        <w:t>Introduction</w:t>
      </w:r>
    </w:p>
    <w:p w14:paraId="6F8C4A15" w14:textId="5FC400F2" w:rsidR="00191CD9" w:rsidRPr="00191CD9" w:rsidRDefault="00191CD9" w:rsidP="00191CD9">
      <w:r>
        <w:rPr>
          <w:rStyle w:val="normaltextrun"/>
          <w:color w:val="000000"/>
          <w:shd w:val="clear" w:color="auto" w:fill="FFFFFF"/>
          <w:lang w:val="en-US"/>
        </w:rPr>
        <w:t>According to the agreements from RAN2#123 [2]:</w:t>
      </w:r>
      <w:r>
        <w:rPr>
          <w:rStyle w:val="eop"/>
          <w:color w:val="000000"/>
          <w:shd w:val="clear" w:color="auto" w:fill="FFFFFF"/>
        </w:rPr>
        <w:t> </w:t>
      </w:r>
    </w:p>
    <w:tbl>
      <w:tblPr>
        <w:tblStyle w:val="TableGrid"/>
        <w:tblW w:w="0" w:type="auto"/>
        <w:tblLook w:val="04A0" w:firstRow="1" w:lastRow="0" w:firstColumn="1" w:lastColumn="0" w:noHBand="0" w:noVBand="1"/>
      </w:tblPr>
      <w:tblGrid>
        <w:gridCol w:w="9631"/>
      </w:tblGrid>
      <w:tr w:rsidR="00191CD9" w14:paraId="3F80D1D2" w14:textId="77777777" w:rsidTr="00191CD9">
        <w:tc>
          <w:tcPr>
            <w:tcW w:w="9631" w:type="dxa"/>
          </w:tcPr>
          <w:p w14:paraId="7ED0619A" w14:textId="722D8239" w:rsidR="00191CD9" w:rsidRDefault="00191CD9" w:rsidP="00191CD9">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b/>
                <w:bCs/>
                <w:sz w:val="20"/>
                <w:szCs w:val="20"/>
                <w:lang w:val="en-US"/>
              </w:rPr>
              <w:t>RAN2#123</w:t>
            </w:r>
            <w:r>
              <w:rPr>
                <w:rStyle w:val="eop"/>
                <w:rFonts w:ascii="Arial" w:hAnsi="Arial" w:cs="Arial"/>
                <w:b/>
                <w:bCs/>
                <w:sz w:val="20"/>
                <w:szCs w:val="20"/>
              </w:rPr>
              <w:t> </w:t>
            </w:r>
            <w:r>
              <w:rPr>
                <w:rStyle w:val="eop"/>
                <w:rFonts w:ascii="Arial" w:hAnsi="Arial" w:cs="Arial"/>
                <w:sz w:val="20"/>
                <w:szCs w:val="20"/>
              </w:rPr>
              <w:t> </w:t>
            </w:r>
          </w:p>
          <w:p w14:paraId="019E0871" w14:textId="77777777" w:rsidR="00191CD9" w:rsidRPr="00191CD9" w:rsidRDefault="00191CD9" w:rsidP="00191CD9">
            <w:pPr>
              <w:pStyle w:val="Agreement"/>
              <w:tabs>
                <w:tab w:val="clear" w:pos="5039"/>
                <w:tab w:val="num" w:pos="1619"/>
              </w:tabs>
              <w:ind w:left="1619"/>
              <w:rPr>
                <w:highlight w:val="yellow"/>
              </w:rPr>
            </w:pPr>
            <w:r w:rsidRPr="00191CD9">
              <w:rPr>
                <w:highlight w:val="yellow"/>
              </w:rPr>
              <w:t xml:space="preserve">1b) The case of </w:t>
            </w:r>
            <w:proofErr w:type="spellStart"/>
            <w:r w:rsidRPr="00191CD9">
              <w:rPr>
                <w:highlight w:val="yellow"/>
              </w:rPr>
              <w:t>PCell</w:t>
            </w:r>
            <w:proofErr w:type="spellEnd"/>
            <w:r w:rsidRPr="00191CD9">
              <w:rPr>
                <w:highlight w:val="yellow"/>
              </w:rPr>
              <w:t xml:space="preserve"> change (MCG) by LTM, without SCG, is supported (If there is an SCG configuration it is released at LTM execution). </w:t>
            </w:r>
          </w:p>
          <w:p w14:paraId="26B68728" w14:textId="77777777" w:rsidR="00191CD9" w:rsidRDefault="00191CD9" w:rsidP="00191CD9">
            <w:pPr>
              <w:pStyle w:val="Agreement"/>
              <w:tabs>
                <w:tab w:val="clear" w:pos="5039"/>
                <w:tab w:val="num" w:pos="1619"/>
              </w:tabs>
              <w:ind w:left="1619"/>
            </w:pPr>
            <w:r>
              <w:t xml:space="preserve">2b) The case of SCG LTM, without MN involvement is </w:t>
            </w:r>
            <w:proofErr w:type="gramStart"/>
            <w:r>
              <w:t>supported</w:t>
            </w:r>
            <w:proofErr w:type="gramEnd"/>
            <w:r>
              <w:t xml:space="preserve"> </w:t>
            </w:r>
          </w:p>
          <w:p w14:paraId="436BD489" w14:textId="77777777" w:rsidR="00191CD9" w:rsidRDefault="00191CD9" w:rsidP="00191CD9">
            <w:pPr>
              <w:pStyle w:val="Agreement"/>
              <w:tabs>
                <w:tab w:val="clear" w:pos="5039"/>
                <w:tab w:val="num" w:pos="1619"/>
              </w:tabs>
              <w:ind w:left="1619"/>
            </w:pPr>
            <w:r>
              <w:t>as a working assumption (can be revisited e.g. at the last meeting), it is assumed that other MCG/SCG cases are not supported.</w:t>
            </w:r>
          </w:p>
          <w:p w14:paraId="34371080" w14:textId="0922A5C9" w:rsidR="00191CD9" w:rsidRPr="00191CD9" w:rsidRDefault="00191CD9" w:rsidP="00191CD9">
            <w:pPr>
              <w:pStyle w:val="paragraph"/>
              <w:spacing w:before="0" w:beforeAutospacing="0" w:after="0" w:afterAutospacing="0"/>
              <w:jc w:val="both"/>
              <w:textAlignment w:val="baseline"/>
              <w:rPr>
                <w:rFonts w:ascii="Arial" w:hAnsi="Arial" w:cs="Arial"/>
                <w:b/>
                <w:bCs/>
                <w:sz w:val="22"/>
                <w:szCs w:val="22"/>
                <w:lang w:val="en-GB"/>
              </w:rPr>
            </w:pPr>
          </w:p>
        </w:tc>
      </w:tr>
    </w:tbl>
    <w:p w14:paraId="04209295" w14:textId="517184AB" w:rsidR="00191CD9" w:rsidRPr="00191CD9" w:rsidRDefault="00191CD9" w:rsidP="009339CB">
      <w:pPr>
        <w:rPr>
          <w:lang w:val="en-US"/>
        </w:rPr>
      </w:pPr>
      <w:r>
        <w:rPr>
          <w:rStyle w:val="scxw57250226"/>
          <w:color w:val="000000"/>
          <w:shd w:val="clear" w:color="auto" w:fill="FFFFFF"/>
        </w:rPr>
        <w:t> </w:t>
      </w:r>
      <w:r>
        <w:rPr>
          <w:color w:val="000000"/>
          <w:shd w:val="clear" w:color="auto" w:fill="FFFFFF"/>
        </w:rPr>
        <w:br/>
      </w:r>
      <w:r w:rsidRPr="00545496">
        <w:rPr>
          <w:rStyle w:val="normaltextrun"/>
          <w:color w:val="000000"/>
          <w:shd w:val="clear" w:color="auto" w:fill="FFFFFF"/>
          <w:lang w:val="en-US"/>
        </w:rPr>
        <w:t xml:space="preserve">This document discusses aspects </w:t>
      </w:r>
      <w:r w:rsidR="00545496" w:rsidRPr="00545496">
        <w:rPr>
          <w:rStyle w:val="normaltextrun"/>
          <w:color w:val="000000"/>
          <w:shd w:val="clear" w:color="auto" w:fill="FFFFFF"/>
          <w:lang w:val="en-US"/>
        </w:rPr>
        <w:t>relevant to SCG Release in</w:t>
      </w:r>
      <w:r w:rsidRPr="00545496">
        <w:rPr>
          <w:rStyle w:val="normaltextrun"/>
          <w:color w:val="000000"/>
          <w:shd w:val="clear" w:color="auto" w:fill="FFFFFF"/>
          <w:lang w:val="en-US"/>
        </w:rPr>
        <w:t xml:space="preserve"> LTM</w:t>
      </w:r>
      <w:r w:rsidR="00545496" w:rsidRPr="00545496">
        <w:rPr>
          <w:rStyle w:val="normaltextrun"/>
          <w:color w:val="000000"/>
          <w:shd w:val="clear" w:color="auto" w:fill="FFFFFF"/>
          <w:lang w:val="en-US"/>
        </w:rPr>
        <w:t xml:space="preserve"> at the time of the cell switch</w:t>
      </w:r>
      <w:r w:rsidRPr="00545496">
        <w:rPr>
          <w:rStyle w:val="normaltextrun"/>
          <w:color w:val="000000"/>
          <w:shd w:val="clear" w:color="auto" w:fill="FFFFFF"/>
          <w:lang w:val="en-US"/>
        </w:rPr>
        <w:t>.</w:t>
      </w:r>
      <w:r>
        <w:rPr>
          <w:rStyle w:val="normaltextrun"/>
          <w:color w:val="000000"/>
          <w:shd w:val="clear" w:color="auto" w:fill="FFFFFF"/>
          <w:lang w:val="en-US"/>
        </w:rPr>
        <w:t> </w:t>
      </w:r>
      <w:r>
        <w:rPr>
          <w:rStyle w:val="eop"/>
          <w:color w:val="000000"/>
          <w:shd w:val="clear" w:color="auto" w:fill="FFFFFF"/>
        </w:rPr>
        <w:t> </w:t>
      </w:r>
    </w:p>
    <w:p w14:paraId="7D484B6E" w14:textId="3FFDC1F3" w:rsidR="009339CB" w:rsidRPr="006E13D1" w:rsidRDefault="009339CB" w:rsidP="009339CB">
      <w:pPr>
        <w:pStyle w:val="Heading1"/>
      </w:pPr>
      <w:r w:rsidRPr="006E13D1">
        <w:t>2</w:t>
      </w:r>
      <w:r w:rsidRPr="006E13D1">
        <w:tab/>
      </w:r>
      <w:r w:rsidR="00191CD9">
        <w:t>SCG Release at the Cell Change in LTM</w:t>
      </w:r>
    </w:p>
    <w:p w14:paraId="5982B445" w14:textId="04846492" w:rsidR="009339CB" w:rsidRPr="006E13D1" w:rsidRDefault="009339CB" w:rsidP="009339CB">
      <w:pPr>
        <w:pStyle w:val="Heading2"/>
      </w:pPr>
      <w:r>
        <w:t>2</w:t>
      </w:r>
      <w:r w:rsidRPr="006E13D1">
        <w:t>.1</w:t>
      </w:r>
      <w:r w:rsidRPr="006E13D1">
        <w:tab/>
      </w:r>
      <w:r w:rsidR="00925938">
        <w:t>MN Initiated SN Release</w:t>
      </w:r>
      <w:r w:rsidR="007D3BAC">
        <w:t xml:space="preserve"> in Legacy</w:t>
      </w:r>
    </w:p>
    <w:p w14:paraId="116B560B" w14:textId="0ED9DFA7" w:rsidR="00925938" w:rsidRPr="00925938" w:rsidRDefault="00925938" w:rsidP="00925938">
      <w:pPr>
        <w:jc w:val="both"/>
        <w:rPr>
          <w:rStyle w:val="normaltextrun"/>
          <w:color w:val="000000"/>
          <w:shd w:val="clear" w:color="auto" w:fill="FFFFFF"/>
          <w:lang w:val="en-US"/>
        </w:rPr>
      </w:pPr>
      <w:r w:rsidRPr="00925938">
        <w:rPr>
          <w:rStyle w:val="normaltextrun"/>
          <w:color w:val="000000"/>
          <w:shd w:val="clear" w:color="auto" w:fill="FFFFFF"/>
          <w:lang w:val="en-US"/>
        </w:rPr>
        <w:t>In Dual Connectivity the UE will have connection with MN and SN nodes. SN is possible to be release</w:t>
      </w:r>
      <w:r>
        <w:rPr>
          <w:rStyle w:val="normaltextrun"/>
          <w:color w:val="000000"/>
          <w:shd w:val="clear" w:color="auto" w:fill="FFFFFF"/>
          <w:lang w:val="en-US"/>
        </w:rPr>
        <w:t>d</w:t>
      </w:r>
      <w:r w:rsidRPr="00925938">
        <w:rPr>
          <w:rStyle w:val="normaltextrun"/>
          <w:color w:val="000000"/>
          <w:shd w:val="clear" w:color="auto" w:fill="FFFFFF"/>
          <w:lang w:val="en-US"/>
        </w:rPr>
        <w:t xml:space="preserve"> either according to MN indication (MN initiated SN release) or SN indication (SN initiated SN release). Both procedures are captured in TS37.340. For the LTM case the MN-initiated SN release procedure </w:t>
      </w:r>
      <w:r>
        <w:rPr>
          <w:rStyle w:val="normaltextrun"/>
          <w:color w:val="000000"/>
          <w:shd w:val="clear" w:color="auto" w:fill="FFFFFF"/>
          <w:lang w:val="en-US"/>
        </w:rPr>
        <w:t xml:space="preserve">is </w:t>
      </w:r>
      <w:r w:rsidRPr="00925938">
        <w:rPr>
          <w:rStyle w:val="normaltextrun"/>
          <w:color w:val="000000"/>
          <w:shd w:val="clear" w:color="auto" w:fill="FFFFFF"/>
          <w:lang w:val="en-US"/>
        </w:rPr>
        <w:t xml:space="preserve">relevant and is presented below. </w:t>
      </w:r>
    </w:p>
    <w:p w14:paraId="5DD0A6D5" w14:textId="77777777" w:rsidR="00925938" w:rsidRDefault="00925938" w:rsidP="00925938">
      <w:pPr>
        <w:keepNext/>
        <w:jc w:val="center"/>
      </w:pPr>
      <w:r w:rsidRPr="00FA1C5C">
        <w:object w:dxaOrig="8640" w:dyaOrig="3790" w14:anchorId="2CE96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9.1pt" o:ole="">
            <v:imagedata r:id="rId13" o:title=""/>
            <o:lock v:ext="edit" aspectratio="f"/>
          </v:shape>
          <o:OLEObject Type="Embed" ProgID="Visio.Drawing.11" ShapeID="_x0000_i1025" DrawAspect="Content" ObjectID="_1757485256" r:id="rId14"/>
        </w:object>
      </w:r>
    </w:p>
    <w:p w14:paraId="289D141E" w14:textId="77777777" w:rsidR="00925938" w:rsidRPr="002D2373" w:rsidRDefault="00925938" w:rsidP="0092593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D2373">
        <w:t>MN initiated SN Release</w:t>
      </w:r>
    </w:p>
    <w:p w14:paraId="7AC75841" w14:textId="15B933E5" w:rsidR="00925938" w:rsidRPr="00925938" w:rsidRDefault="00925938" w:rsidP="00427446">
      <w:pPr>
        <w:jc w:val="both"/>
        <w:rPr>
          <w:rStyle w:val="normaltextrun"/>
          <w:color w:val="000000"/>
          <w:shd w:val="clear" w:color="auto" w:fill="FFFFFF"/>
          <w:lang w:val="en-US"/>
        </w:rPr>
      </w:pPr>
      <w:r>
        <w:rPr>
          <w:rStyle w:val="normaltextrun"/>
          <w:color w:val="000000"/>
          <w:shd w:val="clear" w:color="auto" w:fill="FFFFFF"/>
          <w:lang w:val="en-US"/>
        </w:rPr>
        <w:lastRenderedPageBreak/>
        <w:t xml:space="preserve">According to </w:t>
      </w:r>
      <w:r w:rsidR="23832E3E">
        <w:rPr>
          <w:rStyle w:val="normaltextrun"/>
          <w:color w:val="000000"/>
          <w:shd w:val="clear" w:color="auto" w:fill="FFFFFF"/>
          <w:lang w:val="en-US"/>
        </w:rPr>
        <w:t xml:space="preserve">above </w:t>
      </w:r>
      <w:proofErr w:type="spellStart"/>
      <w:r w:rsidR="23832E3E">
        <w:rPr>
          <w:rStyle w:val="normaltextrun"/>
          <w:color w:val="000000"/>
          <w:shd w:val="clear" w:color="auto" w:fill="FFFFFF"/>
          <w:lang w:val="en-US"/>
        </w:rPr>
        <w:t>signalling</w:t>
      </w:r>
      <w:proofErr w:type="spellEnd"/>
      <w:r w:rsidR="23832E3E">
        <w:rPr>
          <w:rStyle w:val="normaltextrun"/>
          <w:color w:val="000000"/>
          <w:shd w:val="clear" w:color="auto" w:fill="FFFFFF"/>
          <w:lang w:val="en-US"/>
        </w:rPr>
        <w:t xml:space="preserve"> diagram,</w:t>
      </w:r>
      <w:r>
        <w:rPr>
          <w:rStyle w:val="normaltextrun"/>
          <w:color w:val="000000"/>
          <w:shd w:val="clear" w:color="auto" w:fill="FFFFFF"/>
          <w:lang w:val="en-US"/>
        </w:rPr>
        <w:t xml:space="preserve"> t</w:t>
      </w:r>
      <w:r w:rsidRPr="00925938">
        <w:rPr>
          <w:rStyle w:val="normaltextrun"/>
          <w:color w:val="000000"/>
          <w:shd w:val="clear" w:color="auto" w:fill="FFFFFF"/>
          <w:lang w:val="en-US"/>
        </w:rPr>
        <w:t>he MN initiates the procedure by sending the SN Release Request message</w:t>
      </w:r>
      <w:r>
        <w:rPr>
          <w:rStyle w:val="normaltextrun"/>
          <w:color w:val="000000"/>
          <w:shd w:val="clear" w:color="auto" w:fill="FFFFFF"/>
          <w:lang w:val="en-US"/>
        </w:rPr>
        <w:t xml:space="preserve"> to the SN</w:t>
      </w:r>
      <w:r w:rsidRPr="00925938">
        <w:rPr>
          <w:rStyle w:val="normaltextrun"/>
          <w:color w:val="000000"/>
          <w:shd w:val="clear" w:color="auto" w:fill="FFFFFF"/>
          <w:lang w:val="en-US"/>
        </w:rPr>
        <w:t>.</w:t>
      </w:r>
      <w:r>
        <w:rPr>
          <w:rStyle w:val="normaltextrun"/>
          <w:color w:val="000000"/>
          <w:shd w:val="clear" w:color="auto" w:fill="FFFFFF"/>
          <w:lang w:val="en-US"/>
        </w:rPr>
        <w:t xml:space="preserve"> T</w:t>
      </w:r>
      <w:r w:rsidRPr="00925938">
        <w:rPr>
          <w:rStyle w:val="normaltextrun"/>
          <w:color w:val="000000"/>
          <w:shd w:val="clear" w:color="auto" w:fill="FFFFFF"/>
          <w:lang w:val="en-US"/>
        </w:rPr>
        <w:t>he SN confirms SN Release by sending the SN Release Request Acknowledge message. If appropriate, the SN may reject SN Release, e.g., if the SN change procedure is triggered by the SN.</w:t>
      </w:r>
    </w:p>
    <w:p w14:paraId="5B7978D9" w14:textId="0E249ADF" w:rsidR="00925938" w:rsidRPr="00925938" w:rsidRDefault="00925938" w:rsidP="00427446">
      <w:pPr>
        <w:jc w:val="both"/>
        <w:rPr>
          <w:rStyle w:val="normaltextrun"/>
          <w:color w:val="000000"/>
          <w:shd w:val="clear" w:color="auto" w:fill="FFFFFF"/>
          <w:lang w:val="en-US"/>
        </w:rPr>
      </w:pPr>
      <w:r>
        <w:rPr>
          <w:rStyle w:val="normaltextrun"/>
          <w:color w:val="000000"/>
          <w:shd w:val="clear" w:color="auto" w:fill="FFFFFF"/>
          <w:lang w:val="en-US"/>
        </w:rPr>
        <w:t>Then, i</w:t>
      </w:r>
      <w:r w:rsidRPr="00925938">
        <w:rPr>
          <w:rStyle w:val="normaltextrun"/>
          <w:color w:val="000000"/>
          <w:shd w:val="clear" w:color="auto" w:fill="FFFFFF"/>
          <w:lang w:val="en-US"/>
        </w:rPr>
        <w:t>f required, the MN indicates in the MN RRC reconfiguration message towards the UE that the UE shall release the entire SCG configuration. In case the UE is unable to comply with (part of) the configuration included in the MN RRC reconfiguration message, it performs the reconfiguration failure procedure.</w:t>
      </w:r>
      <w:r>
        <w:rPr>
          <w:rStyle w:val="normaltextrun"/>
          <w:color w:val="000000"/>
          <w:shd w:val="clear" w:color="auto" w:fill="FFFFFF"/>
          <w:lang w:val="en-US"/>
        </w:rPr>
        <w:t xml:space="preserve"> </w:t>
      </w:r>
      <w:r w:rsidRPr="00925938">
        <w:rPr>
          <w:rStyle w:val="normaltextrun"/>
          <w:color w:val="000000"/>
          <w:shd w:val="clear" w:color="auto" w:fill="FFFFFF"/>
          <w:lang w:val="en-US"/>
        </w:rPr>
        <w:t xml:space="preserve">If </w:t>
      </w:r>
      <w:r>
        <w:rPr>
          <w:rStyle w:val="normaltextrun"/>
          <w:color w:val="000000"/>
          <w:shd w:val="clear" w:color="auto" w:fill="FFFFFF"/>
          <w:lang w:val="en-US"/>
        </w:rPr>
        <w:t xml:space="preserve">the </w:t>
      </w:r>
      <w:r w:rsidRPr="00925938">
        <w:rPr>
          <w:rStyle w:val="normaltextrun"/>
          <w:color w:val="000000"/>
          <w:shd w:val="clear" w:color="auto" w:fill="FFFFFF"/>
          <w:lang w:val="en-US"/>
        </w:rPr>
        <w:t>PDCP termination point is changed to the MN for bearers using RLC AM, the SN sends the SN Status Transfer message</w:t>
      </w:r>
      <w:r>
        <w:rPr>
          <w:rStyle w:val="normaltextrun"/>
          <w:color w:val="000000"/>
          <w:shd w:val="clear" w:color="auto" w:fill="FFFFFF"/>
          <w:lang w:val="en-US"/>
        </w:rPr>
        <w:t xml:space="preserve"> and d</w:t>
      </w:r>
      <w:r w:rsidRPr="00925938">
        <w:rPr>
          <w:rStyle w:val="normaltextrun"/>
          <w:color w:val="000000"/>
          <w:shd w:val="clear" w:color="auto" w:fill="FFFFFF"/>
          <w:lang w:val="en-US"/>
        </w:rPr>
        <w:t>ata forwarding from the SN to the MN may start</w:t>
      </w:r>
      <w:r>
        <w:rPr>
          <w:rStyle w:val="normaltextrun"/>
          <w:color w:val="000000"/>
          <w:shd w:val="clear" w:color="auto" w:fill="FFFFFF"/>
          <w:lang w:val="en-US"/>
        </w:rPr>
        <w:t xml:space="preserve"> and then Path Update takes place</w:t>
      </w:r>
      <w:r w:rsidRPr="00925938">
        <w:rPr>
          <w:rStyle w:val="normaltextrun"/>
          <w:color w:val="000000"/>
          <w:shd w:val="clear" w:color="auto" w:fill="FFFFFF"/>
          <w:lang w:val="en-US"/>
        </w:rPr>
        <w:t>.</w:t>
      </w:r>
      <w:r>
        <w:rPr>
          <w:rStyle w:val="normaltextrun"/>
          <w:color w:val="000000"/>
          <w:shd w:val="clear" w:color="auto" w:fill="FFFFFF"/>
          <w:lang w:val="en-US"/>
        </w:rPr>
        <w:t xml:space="preserve"> Finally, the MN sends the </w:t>
      </w:r>
      <w:r w:rsidRPr="00925938">
        <w:rPr>
          <w:rStyle w:val="normaltextrun"/>
          <w:color w:val="000000"/>
          <w:shd w:val="clear" w:color="auto" w:fill="FFFFFF"/>
          <w:lang w:val="en-US"/>
        </w:rPr>
        <w:t xml:space="preserve">UE Context Release message, </w:t>
      </w:r>
      <w:r>
        <w:rPr>
          <w:rStyle w:val="normaltextrun"/>
          <w:color w:val="000000"/>
          <w:shd w:val="clear" w:color="auto" w:fill="FFFFFF"/>
          <w:lang w:val="en-US"/>
        </w:rPr>
        <w:t>and the</w:t>
      </w:r>
      <w:r w:rsidRPr="00925938">
        <w:rPr>
          <w:rStyle w:val="normaltextrun"/>
          <w:color w:val="000000"/>
          <w:shd w:val="clear" w:color="auto" w:fill="FFFFFF"/>
          <w:lang w:val="en-US"/>
        </w:rPr>
        <w:t xml:space="preserve"> SN releases radio and C-plane related resources associated to the UE context. Any ongoing data forwarding may continue.</w:t>
      </w:r>
    </w:p>
    <w:p w14:paraId="175CEE1E" w14:textId="1493EAED" w:rsidR="009339CB" w:rsidRPr="00427446" w:rsidRDefault="00427446" w:rsidP="003875D9">
      <w:pPr>
        <w:jc w:val="both"/>
        <w:rPr>
          <w:b/>
          <w:bCs/>
        </w:rPr>
      </w:pPr>
      <w:r w:rsidRPr="00427446">
        <w:rPr>
          <w:b/>
          <w:bCs/>
        </w:rPr>
        <w:t>Observation 1:</w:t>
      </w:r>
      <w:r>
        <w:rPr>
          <w:b/>
          <w:bCs/>
        </w:rPr>
        <w:t xml:space="preserve"> </w:t>
      </w:r>
      <w:r w:rsidR="007D3BAC">
        <w:rPr>
          <w:b/>
          <w:bCs/>
        </w:rPr>
        <w:t>MN can configure the SN Release in legacy Dual Connectivity; for the configuration of the release the MN needs to coordinate with the SN.</w:t>
      </w:r>
    </w:p>
    <w:p w14:paraId="0BC74939" w14:textId="77777777" w:rsidR="00427446" w:rsidRDefault="00427446" w:rsidP="0014704D">
      <w:pPr>
        <w:jc w:val="both"/>
      </w:pPr>
      <w:r>
        <w:t>The configuration of the release of the SN is described in TS</w:t>
      </w:r>
      <w:r w:rsidRPr="00BE7AFB">
        <w:t xml:space="preserve"> 38.331</w:t>
      </w:r>
      <w:r>
        <w:t>. Specifically this can be done as follows:</w:t>
      </w:r>
    </w:p>
    <w:p w14:paraId="7750BC96" w14:textId="77777777" w:rsidR="00427446" w:rsidRPr="003F6F12" w:rsidRDefault="00427446" w:rsidP="0014704D">
      <w:pPr>
        <w:pStyle w:val="B1"/>
        <w:ind w:left="852"/>
        <w:rPr>
          <w:i/>
        </w:rPr>
      </w:pPr>
      <w:r w:rsidRPr="003F6F12">
        <w:t>1&gt;</w:t>
      </w:r>
      <w:r w:rsidRPr="003F6F12">
        <w:tab/>
        <w:t xml:space="preserve">if the </w:t>
      </w:r>
      <w:proofErr w:type="spellStart"/>
      <w:r w:rsidRPr="003F6F12">
        <w:rPr>
          <w:i/>
        </w:rPr>
        <w:t>RRCReconfiguration</w:t>
      </w:r>
      <w:proofErr w:type="spellEnd"/>
      <w:r w:rsidRPr="003F6F12">
        <w:t xml:space="preserve"> includes the </w:t>
      </w:r>
      <w:proofErr w:type="spellStart"/>
      <w:r w:rsidRPr="003F6F12">
        <w:rPr>
          <w:i/>
        </w:rPr>
        <w:t>mrdc-SecondaryCellGroupConfig</w:t>
      </w:r>
      <w:proofErr w:type="spellEnd"/>
      <w:r w:rsidRPr="003F6F12">
        <w:rPr>
          <w:i/>
        </w:rPr>
        <w:t>:</w:t>
      </w:r>
    </w:p>
    <w:p w14:paraId="6F5FBF20" w14:textId="77777777" w:rsidR="00427446" w:rsidRPr="003F6F12" w:rsidRDefault="00427446" w:rsidP="0014704D">
      <w:pPr>
        <w:pStyle w:val="B2"/>
        <w:ind w:left="1135"/>
        <w:rPr>
          <w:rFonts w:eastAsia="Batang"/>
          <w:noProof/>
        </w:rPr>
      </w:pPr>
      <w:r w:rsidRPr="003F6F12">
        <w:rPr>
          <w:rFonts w:eastAsia="Batang"/>
          <w:noProof/>
        </w:rPr>
        <w:t>2&gt;</w:t>
      </w:r>
      <w:r w:rsidRPr="003F6F12">
        <w:rPr>
          <w:rFonts w:eastAsia="Batang"/>
          <w:noProof/>
        </w:rPr>
        <w:tab/>
        <w:t xml:space="preserve">if the </w:t>
      </w:r>
      <w:r w:rsidRPr="003F6F12">
        <w:rPr>
          <w:rFonts w:eastAsia="Batang"/>
          <w:i/>
          <w:noProof/>
        </w:rPr>
        <w:t>mrdc-SecondaryCellGroupConfig</w:t>
      </w:r>
      <w:r w:rsidRPr="003F6F12">
        <w:rPr>
          <w:rFonts w:eastAsia="Batang"/>
          <w:noProof/>
        </w:rPr>
        <w:t xml:space="preserve"> is set to </w:t>
      </w:r>
      <w:r w:rsidRPr="003F6F12">
        <w:rPr>
          <w:rFonts w:eastAsia="Batang"/>
          <w:i/>
          <w:noProof/>
        </w:rPr>
        <w:t>setup</w:t>
      </w:r>
      <w:r w:rsidRPr="003F6F12">
        <w:rPr>
          <w:rFonts w:eastAsia="Batang"/>
          <w:noProof/>
        </w:rPr>
        <w:t>:</w:t>
      </w:r>
    </w:p>
    <w:p w14:paraId="4734198C" w14:textId="77777777" w:rsidR="00427446" w:rsidRPr="003F6F12" w:rsidRDefault="00427446" w:rsidP="0014704D">
      <w:pPr>
        <w:pStyle w:val="B3"/>
        <w:ind w:left="1419"/>
        <w:rPr>
          <w:rFonts w:eastAsia="Batang"/>
          <w:noProof/>
        </w:rPr>
      </w:pPr>
      <w:r w:rsidRPr="003F6F12">
        <w:rPr>
          <w:rFonts w:eastAsia="Batang"/>
          <w:noProof/>
        </w:rPr>
        <w:t>3&gt;</w:t>
      </w:r>
      <w:r w:rsidRPr="003F6F12">
        <w:rPr>
          <w:rFonts w:eastAsia="Batang"/>
          <w:noProof/>
        </w:rPr>
        <w:tab/>
        <w:t xml:space="preserve">if the </w:t>
      </w:r>
      <w:r w:rsidRPr="003F6F12">
        <w:rPr>
          <w:rFonts w:eastAsia="Batang"/>
          <w:i/>
          <w:noProof/>
        </w:rPr>
        <w:t>mrdc-SecondaryCellGroupConfig</w:t>
      </w:r>
      <w:r w:rsidRPr="003F6F12">
        <w:rPr>
          <w:rFonts w:eastAsia="Batang"/>
          <w:noProof/>
        </w:rPr>
        <w:t xml:space="preserve"> includes </w:t>
      </w:r>
      <w:r w:rsidRPr="003F6F12">
        <w:rPr>
          <w:rFonts w:eastAsia="Batang"/>
          <w:i/>
          <w:noProof/>
        </w:rPr>
        <w:t>mrdc-ReleaseAndAdd</w:t>
      </w:r>
      <w:r w:rsidRPr="003F6F12">
        <w:rPr>
          <w:rFonts w:eastAsia="Batang"/>
          <w:noProof/>
        </w:rPr>
        <w:t>:</w:t>
      </w:r>
    </w:p>
    <w:p w14:paraId="34C4F17E" w14:textId="77777777" w:rsidR="00427446" w:rsidRPr="003F6F12" w:rsidRDefault="00427446" w:rsidP="0014704D">
      <w:pPr>
        <w:pStyle w:val="B4"/>
        <w:ind w:left="1702"/>
        <w:rPr>
          <w:rFonts w:eastAsia="Batang"/>
          <w:noProof/>
        </w:rPr>
      </w:pPr>
      <w:r w:rsidRPr="003F6F12">
        <w:rPr>
          <w:rFonts w:eastAsia="Batang"/>
        </w:rPr>
        <w:t>4</w:t>
      </w:r>
      <w:r w:rsidRPr="003F6F12">
        <w:rPr>
          <w:rFonts w:eastAsia="Batang"/>
          <w:noProof/>
        </w:rPr>
        <w:t>&gt;</w:t>
      </w:r>
      <w:r w:rsidRPr="003F6F12">
        <w:rPr>
          <w:rFonts w:eastAsia="Batang"/>
          <w:noProof/>
        </w:rPr>
        <w:tab/>
        <w:t>perform MR-DC release as specified in clause 5.3.5.10;</w:t>
      </w:r>
    </w:p>
    <w:p w14:paraId="02713C41" w14:textId="77777777" w:rsidR="00427446" w:rsidRPr="003F6F12" w:rsidRDefault="00427446" w:rsidP="0014704D">
      <w:pPr>
        <w:pStyle w:val="B3"/>
        <w:ind w:left="1419"/>
        <w:rPr>
          <w:rFonts w:eastAsia="Batang"/>
          <w:noProof/>
        </w:rPr>
      </w:pPr>
      <w:r w:rsidRPr="003F6F12">
        <w:t>3&gt;</w:t>
      </w:r>
      <w:r w:rsidRPr="003F6F12">
        <w:tab/>
        <w:t xml:space="preserve">if the received </w:t>
      </w:r>
      <w:proofErr w:type="spellStart"/>
      <w:r w:rsidRPr="003F6F12">
        <w:rPr>
          <w:i/>
        </w:rPr>
        <w:t>mrdc-SecondaryCellGroup</w:t>
      </w:r>
      <w:proofErr w:type="spellEnd"/>
      <w:r w:rsidRPr="003F6F12">
        <w:t xml:space="preserve"> is set to </w:t>
      </w:r>
      <w:r w:rsidRPr="003F6F12">
        <w:rPr>
          <w:i/>
        </w:rPr>
        <w:t>nr-SCG</w:t>
      </w:r>
      <w:r w:rsidRPr="003F6F12">
        <w:t>:</w:t>
      </w:r>
    </w:p>
    <w:p w14:paraId="4D21360C" w14:textId="77777777" w:rsidR="00427446" w:rsidRPr="003F6F12" w:rsidRDefault="00427446" w:rsidP="0014704D">
      <w:pPr>
        <w:pStyle w:val="B4"/>
        <w:ind w:left="1702"/>
      </w:pPr>
      <w:r w:rsidRPr="003F6F12">
        <w:rPr>
          <w:rFonts w:eastAsia="Batang"/>
          <w:noProof/>
        </w:rPr>
        <w:t>4&gt;</w:t>
      </w:r>
      <w:r w:rsidRPr="003F6F12">
        <w:rPr>
          <w:rFonts w:eastAsia="Batang"/>
          <w:noProof/>
        </w:rPr>
        <w:tab/>
        <w:t xml:space="preserve">perform the RRC reconfiguration according to 5.3.5.3 for the </w:t>
      </w:r>
      <w:r w:rsidRPr="003F6F12">
        <w:rPr>
          <w:rFonts w:eastAsia="Batang"/>
          <w:i/>
          <w:noProof/>
        </w:rPr>
        <w:t>RRCReconfiguration</w:t>
      </w:r>
      <w:r w:rsidRPr="003F6F12">
        <w:rPr>
          <w:rFonts w:eastAsia="Batang"/>
          <w:noProof/>
        </w:rPr>
        <w:t xml:space="preserve"> message included in </w:t>
      </w:r>
      <w:r w:rsidRPr="003F6F12">
        <w:rPr>
          <w:rFonts w:eastAsia="Batang"/>
          <w:i/>
          <w:noProof/>
        </w:rPr>
        <w:t>nr-SCG</w:t>
      </w:r>
      <w:r w:rsidRPr="003F6F12">
        <w:rPr>
          <w:rFonts w:eastAsia="Batang"/>
          <w:noProof/>
        </w:rPr>
        <w:t>;</w:t>
      </w:r>
    </w:p>
    <w:p w14:paraId="0E233931" w14:textId="77777777" w:rsidR="00427446" w:rsidRPr="003F6F12" w:rsidRDefault="00427446" w:rsidP="0014704D">
      <w:pPr>
        <w:pStyle w:val="B3"/>
        <w:ind w:left="1419"/>
        <w:rPr>
          <w:rFonts w:eastAsia="Batang"/>
          <w:noProof/>
        </w:rPr>
      </w:pPr>
      <w:r w:rsidRPr="003F6F12">
        <w:t>3&gt;</w:t>
      </w:r>
      <w:r w:rsidRPr="003F6F12">
        <w:tab/>
        <w:t xml:space="preserve">if the received </w:t>
      </w:r>
      <w:proofErr w:type="spellStart"/>
      <w:r w:rsidRPr="003F6F12">
        <w:rPr>
          <w:i/>
        </w:rPr>
        <w:t>mrdc-SecondaryCellGroup</w:t>
      </w:r>
      <w:proofErr w:type="spellEnd"/>
      <w:r w:rsidRPr="003F6F12">
        <w:t xml:space="preserve"> is set to </w:t>
      </w:r>
      <w:proofErr w:type="spellStart"/>
      <w:r w:rsidRPr="003F6F12">
        <w:rPr>
          <w:i/>
        </w:rPr>
        <w:t>eutra</w:t>
      </w:r>
      <w:proofErr w:type="spellEnd"/>
      <w:r w:rsidRPr="003F6F12">
        <w:rPr>
          <w:i/>
        </w:rPr>
        <w:t>-SCG</w:t>
      </w:r>
      <w:r w:rsidRPr="003F6F12">
        <w:t>:</w:t>
      </w:r>
    </w:p>
    <w:p w14:paraId="7855B436" w14:textId="77777777" w:rsidR="00427446" w:rsidRPr="003F6F12" w:rsidRDefault="00427446" w:rsidP="0014704D">
      <w:pPr>
        <w:pStyle w:val="B4"/>
        <w:ind w:left="1702"/>
        <w:rPr>
          <w:rFonts w:eastAsia="Batang"/>
          <w:noProof/>
        </w:rPr>
      </w:pPr>
      <w:r w:rsidRPr="003F6F12">
        <w:rPr>
          <w:rFonts w:eastAsia="Batang"/>
          <w:noProof/>
        </w:rPr>
        <w:t>4&gt;</w:t>
      </w:r>
      <w:r w:rsidRPr="003F6F12">
        <w:rPr>
          <w:rFonts w:eastAsia="Batang"/>
          <w:noProof/>
        </w:rPr>
        <w:tab/>
        <w:t xml:space="preserve">perform the RRC connection reconfiguration </w:t>
      </w:r>
      <w:r w:rsidRPr="003F6F12">
        <w:rPr>
          <w:rFonts w:eastAsia="Batang"/>
        </w:rPr>
        <w:t>as specified in</w:t>
      </w:r>
      <w:r w:rsidRPr="003F6F12">
        <w:rPr>
          <w:rFonts w:eastAsia="Batang"/>
          <w:noProof/>
        </w:rPr>
        <w:t xml:space="preserve"> TS 36.331 [10], clause 5.3.5.3 for the </w:t>
      </w:r>
      <w:r w:rsidRPr="003F6F12">
        <w:rPr>
          <w:rFonts w:eastAsia="Batang"/>
          <w:i/>
          <w:noProof/>
        </w:rPr>
        <w:t>RRCConnectionReconfiguration</w:t>
      </w:r>
      <w:r w:rsidRPr="003F6F12">
        <w:rPr>
          <w:rFonts w:eastAsia="Batang"/>
          <w:noProof/>
        </w:rPr>
        <w:t xml:space="preserve"> message included in </w:t>
      </w:r>
      <w:r w:rsidRPr="003F6F12">
        <w:rPr>
          <w:rFonts w:eastAsia="Batang"/>
          <w:i/>
          <w:noProof/>
        </w:rPr>
        <w:t>eutra-SCG</w:t>
      </w:r>
      <w:r w:rsidRPr="003F6F12">
        <w:rPr>
          <w:rFonts w:eastAsia="Batang"/>
          <w:noProof/>
        </w:rPr>
        <w:t>;</w:t>
      </w:r>
    </w:p>
    <w:p w14:paraId="0AEF6A4A" w14:textId="77777777" w:rsidR="00427446" w:rsidRPr="006662CB" w:rsidRDefault="00427446" w:rsidP="0014704D">
      <w:pPr>
        <w:pStyle w:val="B2"/>
        <w:ind w:left="1135"/>
        <w:rPr>
          <w:rFonts w:eastAsia="Batang"/>
          <w:noProof/>
          <w:highlight w:val="yellow"/>
        </w:rPr>
      </w:pPr>
      <w:r w:rsidRPr="006662CB">
        <w:rPr>
          <w:rFonts w:eastAsia="Batang"/>
          <w:noProof/>
          <w:highlight w:val="yellow"/>
        </w:rPr>
        <w:t>2&gt;</w:t>
      </w:r>
      <w:r w:rsidRPr="006662CB">
        <w:rPr>
          <w:rFonts w:eastAsia="Batang"/>
          <w:noProof/>
          <w:highlight w:val="yellow"/>
        </w:rPr>
        <w:tab/>
        <w:t>else (</w:t>
      </w:r>
      <w:r w:rsidRPr="006662CB">
        <w:rPr>
          <w:rFonts w:eastAsia="Batang"/>
          <w:i/>
          <w:noProof/>
          <w:highlight w:val="yellow"/>
        </w:rPr>
        <w:t>mrdc-SecondaryCellGroupConfig</w:t>
      </w:r>
      <w:r w:rsidRPr="006662CB">
        <w:rPr>
          <w:rFonts w:eastAsia="Batang"/>
          <w:noProof/>
          <w:highlight w:val="yellow"/>
        </w:rPr>
        <w:t xml:space="preserve"> is set to </w:t>
      </w:r>
      <w:r w:rsidRPr="006662CB">
        <w:rPr>
          <w:rFonts w:eastAsia="Batang"/>
          <w:i/>
          <w:noProof/>
          <w:highlight w:val="yellow"/>
        </w:rPr>
        <w:t>release</w:t>
      </w:r>
      <w:r w:rsidRPr="006662CB">
        <w:rPr>
          <w:rFonts w:eastAsia="Batang"/>
          <w:noProof/>
          <w:highlight w:val="yellow"/>
        </w:rPr>
        <w:t>):</w:t>
      </w:r>
    </w:p>
    <w:p w14:paraId="1DCD574D" w14:textId="1993B066" w:rsidR="00427446" w:rsidRPr="003F6F12" w:rsidRDefault="00427446" w:rsidP="0014704D">
      <w:pPr>
        <w:pStyle w:val="B3"/>
        <w:ind w:left="1419"/>
        <w:rPr>
          <w:rFonts w:eastAsia="Batang"/>
          <w:noProof/>
        </w:rPr>
      </w:pPr>
      <w:r w:rsidRPr="006662CB">
        <w:rPr>
          <w:rFonts w:eastAsia="Batang"/>
          <w:highlight w:val="yellow"/>
        </w:rPr>
        <w:t>3</w:t>
      </w:r>
      <w:r w:rsidRPr="006662CB">
        <w:rPr>
          <w:rFonts w:eastAsia="Batang"/>
          <w:noProof/>
          <w:highlight w:val="yellow"/>
        </w:rPr>
        <w:t>&gt;</w:t>
      </w:r>
      <w:r w:rsidRPr="006662CB">
        <w:rPr>
          <w:rFonts w:eastAsia="Batang"/>
          <w:noProof/>
          <w:highlight w:val="yellow"/>
        </w:rPr>
        <w:tab/>
      </w:r>
      <w:r w:rsidRPr="006662CB">
        <w:rPr>
          <w:rFonts w:eastAsia="Batang"/>
          <w:highlight w:val="yellow"/>
        </w:rPr>
        <w:t>perform</w:t>
      </w:r>
      <w:r w:rsidRPr="006662CB">
        <w:rPr>
          <w:rFonts w:eastAsia="Batang"/>
          <w:noProof/>
          <w:highlight w:val="yellow"/>
        </w:rPr>
        <w:t xml:space="preserve"> MR-DC </w:t>
      </w:r>
      <w:r w:rsidRPr="006662CB">
        <w:rPr>
          <w:rFonts w:eastAsia="Batang"/>
          <w:highlight w:val="yellow"/>
        </w:rPr>
        <w:t>release</w:t>
      </w:r>
      <w:r w:rsidRPr="006662CB">
        <w:rPr>
          <w:rFonts w:eastAsia="Batang"/>
          <w:noProof/>
          <w:highlight w:val="yellow"/>
        </w:rPr>
        <w:t xml:space="preserve"> as specified in clause 5.3.5.10;</w:t>
      </w:r>
    </w:p>
    <w:p w14:paraId="699AE436" w14:textId="77777777" w:rsidR="00427446" w:rsidRDefault="00427446" w:rsidP="0014704D">
      <w:pPr>
        <w:jc w:val="both"/>
      </w:pPr>
      <w:r w:rsidRPr="00217807">
        <w:t>In above, the network configures the SCG release explicitly and the UE proceeds with the SCG release as specified in a separate section.</w:t>
      </w:r>
    </w:p>
    <w:p w14:paraId="7631D124" w14:textId="0EF6212F" w:rsidR="00427446" w:rsidRDefault="55F6754B" w:rsidP="0014704D">
      <w:pPr>
        <w:jc w:val="both"/>
      </w:pPr>
      <w:r>
        <w:t xml:space="preserve">In case of absence of </w:t>
      </w:r>
      <w:r w:rsidR="50E95BBF">
        <w:t xml:space="preserve">SCG </w:t>
      </w:r>
      <w:r>
        <w:t xml:space="preserve">configuration </w:t>
      </w:r>
      <w:r w:rsidR="683AC54B">
        <w:t xml:space="preserve">in the target cell </w:t>
      </w:r>
      <w:r>
        <w:t xml:space="preserve">(as also specified in TS38.331 – see below), if the </w:t>
      </w:r>
      <w:proofErr w:type="spellStart"/>
      <w:r>
        <w:t>scg</w:t>
      </w:r>
      <w:proofErr w:type="spellEnd"/>
      <w:r>
        <w:t xml:space="preserve">-state is configured, </w:t>
      </w:r>
      <w:r w:rsidRPr="1358D1AF">
        <w:rPr>
          <w:u w:val="single"/>
        </w:rPr>
        <w:t>the UE deactivates the SCG (but still it does not release)</w:t>
      </w:r>
      <w:r>
        <w:t xml:space="preserve">. If the </w:t>
      </w:r>
      <w:proofErr w:type="spellStart"/>
      <w:r>
        <w:t>scg</w:t>
      </w:r>
      <w:proofErr w:type="spellEnd"/>
      <w:r>
        <w:t xml:space="preserve">-state is not configured in the absence of the </w:t>
      </w:r>
      <w:proofErr w:type="spellStart"/>
      <w:r>
        <w:t>mrdc-secondarycellgroupconfig</w:t>
      </w:r>
      <w:proofErr w:type="spellEnd"/>
      <w:r>
        <w:t xml:space="preserve">, the UE is not expected to do anything (at least the UE </w:t>
      </w:r>
      <w:r w:rsidR="0EA877A9">
        <w:t>behaviour</w:t>
      </w:r>
      <w:r>
        <w:t xml:space="preserve"> is not specified).</w:t>
      </w:r>
    </w:p>
    <w:p w14:paraId="70315700" w14:textId="77777777" w:rsidR="00427446" w:rsidRPr="00D4437E" w:rsidRDefault="00427446" w:rsidP="0014704D">
      <w:pPr>
        <w:pStyle w:val="B1"/>
        <w:ind w:left="852"/>
      </w:pPr>
      <w:r w:rsidRPr="00D4437E">
        <w:t>1&gt;  else</w:t>
      </w:r>
      <w:r w:rsidRPr="00D4437E">
        <w:rPr>
          <w:i/>
          <w:iCs/>
        </w:rPr>
        <w:t xml:space="preserve"> </w:t>
      </w:r>
      <w:r w:rsidRPr="00D4437E">
        <w:t>(</w:t>
      </w:r>
      <w:proofErr w:type="spellStart"/>
      <w:r w:rsidRPr="00D4437E">
        <w:rPr>
          <w:i/>
          <w:iCs/>
        </w:rPr>
        <w:t>RRCReconfiguration</w:t>
      </w:r>
      <w:proofErr w:type="spellEnd"/>
      <w:r w:rsidRPr="00D4437E">
        <w:t xml:space="preserve"> was received via SRB1):</w:t>
      </w:r>
    </w:p>
    <w:p w14:paraId="2FE37DD5" w14:textId="77777777" w:rsidR="00427446" w:rsidRPr="00D4437E" w:rsidRDefault="00427446" w:rsidP="0014704D">
      <w:pPr>
        <w:pStyle w:val="B2"/>
        <w:ind w:left="1135"/>
      </w:pPr>
      <w:r w:rsidRPr="00D4437E">
        <w:t xml:space="preserve">2&gt;  if the UE is in NR-DC </w:t>
      </w:r>
      <w:proofErr w:type="gramStart"/>
      <w:r w:rsidRPr="00D4437E">
        <w:t>and;</w:t>
      </w:r>
      <w:proofErr w:type="gramEnd"/>
    </w:p>
    <w:p w14:paraId="455F1E55" w14:textId="77777777" w:rsidR="00427446" w:rsidRPr="00D4437E" w:rsidRDefault="00427446" w:rsidP="0014704D">
      <w:pPr>
        <w:pStyle w:val="B2"/>
        <w:ind w:left="1135"/>
        <w:rPr>
          <w:highlight w:val="yellow"/>
        </w:rPr>
      </w:pPr>
      <w:r w:rsidRPr="00D4437E">
        <w:rPr>
          <w:highlight w:val="yellow"/>
        </w:rPr>
        <w:t xml:space="preserve">2&gt;  if the </w:t>
      </w:r>
      <w:proofErr w:type="spellStart"/>
      <w:r w:rsidRPr="00D4437E">
        <w:rPr>
          <w:i/>
          <w:iCs/>
          <w:highlight w:val="yellow"/>
        </w:rPr>
        <w:t>RRCReconfiguration</w:t>
      </w:r>
      <w:proofErr w:type="spellEnd"/>
      <w:r w:rsidRPr="00D4437E">
        <w:rPr>
          <w:highlight w:val="yellow"/>
        </w:rPr>
        <w:t xml:space="preserve"> does not include the </w:t>
      </w:r>
      <w:proofErr w:type="spellStart"/>
      <w:r w:rsidRPr="00D4437E">
        <w:rPr>
          <w:i/>
          <w:iCs/>
          <w:highlight w:val="yellow"/>
        </w:rPr>
        <w:t>mrdc-SecondaryCellGroupConfig</w:t>
      </w:r>
      <w:proofErr w:type="spellEnd"/>
      <w:r w:rsidRPr="00D4437E">
        <w:rPr>
          <w:highlight w:val="yellow"/>
        </w:rPr>
        <w:t>:</w:t>
      </w:r>
    </w:p>
    <w:p w14:paraId="6D1B876E" w14:textId="77777777" w:rsidR="00427446" w:rsidRPr="00D4437E" w:rsidRDefault="00427446" w:rsidP="0014704D">
      <w:pPr>
        <w:pStyle w:val="B3"/>
        <w:ind w:left="1419"/>
        <w:rPr>
          <w:highlight w:val="yellow"/>
        </w:rPr>
      </w:pPr>
      <w:r w:rsidRPr="00D4437E">
        <w:rPr>
          <w:highlight w:val="yellow"/>
        </w:rPr>
        <w:t xml:space="preserve">3&gt;  if the </w:t>
      </w:r>
      <w:proofErr w:type="spellStart"/>
      <w:r w:rsidRPr="00D4437E">
        <w:rPr>
          <w:i/>
          <w:iCs/>
          <w:highlight w:val="yellow"/>
        </w:rPr>
        <w:t>RRCReconfiguration</w:t>
      </w:r>
      <w:proofErr w:type="spellEnd"/>
      <w:r w:rsidRPr="00D4437E">
        <w:rPr>
          <w:highlight w:val="yellow"/>
        </w:rPr>
        <w:t xml:space="preserve"> includes the </w:t>
      </w:r>
      <w:proofErr w:type="spellStart"/>
      <w:r w:rsidRPr="00D4437E">
        <w:rPr>
          <w:i/>
          <w:iCs/>
          <w:highlight w:val="yellow"/>
        </w:rPr>
        <w:t>scg</w:t>
      </w:r>
      <w:proofErr w:type="spellEnd"/>
      <w:r w:rsidRPr="00D4437E">
        <w:rPr>
          <w:i/>
          <w:iCs/>
          <w:highlight w:val="yellow"/>
        </w:rPr>
        <w:t>-State</w:t>
      </w:r>
      <w:r w:rsidRPr="00D4437E">
        <w:rPr>
          <w:highlight w:val="yellow"/>
        </w:rPr>
        <w:t>:</w:t>
      </w:r>
    </w:p>
    <w:p w14:paraId="54277E05" w14:textId="77777777" w:rsidR="00427446" w:rsidRPr="00D4437E" w:rsidRDefault="00427446" w:rsidP="0014704D">
      <w:pPr>
        <w:pStyle w:val="B4"/>
        <w:ind w:left="1702"/>
      </w:pPr>
      <w:r w:rsidRPr="00D4437E">
        <w:rPr>
          <w:highlight w:val="yellow"/>
        </w:rPr>
        <w:t>4&gt;  perform SCG deactivation as specified in 5.3.5.</w:t>
      </w:r>
      <w:proofErr w:type="gramStart"/>
      <w:r w:rsidRPr="00D4437E">
        <w:rPr>
          <w:highlight w:val="yellow"/>
        </w:rPr>
        <w:t>13b;</w:t>
      </w:r>
      <w:proofErr w:type="gramEnd"/>
    </w:p>
    <w:p w14:paraId="0A1A77C9" w14:textId="77777777" w:rsidR="00427446" w:rsidRPr="00D4437E" w:rsidRDefault="00427446" w:rsidP="0014704D">
      <w:pPr>
        <w:pStyle w:val="B3"/>
        <w:ind w:left="1419"/>
      </w:pPr>
      <w:r w:rsidRPr="00D4437E">
        <w:t>3&gt;  else:</w:t>
      </w:r>
    </w:p>
    <w:p w14:paraId="34721810" w14:textId="77777777" w:rsidR="00427446" w:rsidRPr="00D4437E" w:rsidRDefault="00427446" w:rsidP="0014704D">
      <w:pPr>
        <w:pStyle w:val="B4"/>
        <w:ind w:left="1702"/>
      </w:pPr>
      <w:r w:rsidRPr="00D4437E">
        <w:t>4&gt;  perform SCG activation without SN message as specified in 5.3.5.</w:t>
      </w:r>
      <w:proofErr w:type="gramStart"/>
      <w:r w:rsidRPr="00D4437E">
        <w:t>13b1;</w:t>
      </w:r>
      <w:proofErr w:type="gramEnd"/>
    </w:p>
    <w:p w14:paraId="1811E094" w14:textId="77777777" w:rsidR="00427446" w:rsidRPr="00D4437E" w:rsidRDefault="00427446" w:rsidP="0014704D">
      <w:pPr>
        <w:pStyle w:val="B2"/>
        <w:ind w:left="1135"/>
        <w:rPr>
          <w:lang w:eastAsia="zh-CN"/>
        </w:rPr>
      </w:pPr>
      <w:r w:rsidRPr="00D4437E">
        <w:t xml:space="preserve">2&gt;  if the </w:t>
      </w:r>
      <w:proofErr w:type="spellStart"/>
      <w:r w:rsidRPr="00D4437E">
        <w:rPr>
          <w:i/>
          <w:iCs/>
        </w:rPr>
        <w:t>reconfigurationWithSync</w:t>
      </w:r>
      <w:proofErr w:type="spellEnd"/>
      <w:r w:rsidRPr="00D4437E">
        <w:t xml:space="preserve"> was included in </w:t>
      </w:r>
      <w:proofErr w:type="spellStart"/>
      <w:r w:rsidRPr="00D4437E">
        <w:rPr>
          <w:i/>
          <w:iCs/>
        </w:rPr>
        <w:t>spCellConfig</w:t>
      </w:r>
      <w:proofErr w:type="spellEnd"/>
      <w:r w:rsidRPr="00D4437E">
        <w:t xml:space="preserve"> of an MCG:</w:t>
      </w:r>
    </w:p>
    <w:p w14:paraId="00E13B2D" w14:textId="77777777" w:rsidR="00427446" w:rsidRPr="00D4437E" w:rsidRDefault="00427446" w:rsidP="0014704D">
      <w:pPr>
        <w:pStyle w:val="B3"/>
        <w:ind w:left="1419"/>
      </w:pPr>
      <w:r w:rsidRPr="00D4437E">
        <w:rPr>
          <w:lang w:eastAsia="zh-CN"/>
        </w:rPr>
        <w:t>3</w:t>
      </w:r>
      <w:r w:rsidRPr="00D4437E">
        <w:t xml:space="preserve">&gt;  if </w:t>
      </w:r>
      <w:r w:rsidRPr="00D4437E">
        <w:rPr>
          <w:i/>
          <w:iCs/>
        </w:rPr>
        <w:t>ta-Report</w:t>
      </w:r>
      <w:r w:rsidRPr="00D4437E">
        <w:t xml:space="preserve"> is configured with value </w:t>
      </w:r>
      <w:r w:rsidRPr="00D4437E">
        <w:rPr>
          <w:i/>
          <w:iCs/>
        </w:rPr>
        <w:t xml:space="preserve">enabled </w:t>
      </w:r>
      <w:r w:rsidRPr="00D4437E">
        <w:t>and the UE supports TA reporting:</w:t>
      </w:r>
    </w:p>
    <w:p w14:paraId="5BA7E3AB" w14:textId="77777777" w:rsidR="00427446" w:rsidRPr="00D4437E" w:rsidRDefault="00427446" w:rsidP="0014704D">
      <w:pPr>
        <w:pStyle w:val="B4"/>
        <w:ind w:left="1702"/>
      </w:pPr>
      <w:r w:rsidRPr="00D4437E">
        <w:rPr>
          <w:lang w:eastAsia="zh-CN"/>
        </w:rPr>
        <w:t>4</w:t>
      </w:r>
      <w:r w:rsidRPr="00D4437E">
        <w:t xml:space="preserve">&gt;  indicate TA report initiation to lower </w:t>
      </w:r>
      <w:proofErr w:type="gramStart"/>
      <w:r w:rsidRPr="00D4437E">
        <w:t>layers;</w:t>
      </w:r>
      <w:proofErr w:type="gramEnd"/>
    </w:p>
    <w:p w14:paraId="52D60B69" w14:textId="77777777" w:rsidR="00427446" w:rsidRPr="00D4437E" w:rsidRDefault="00427446" w:rsidP="0014704D">
      <w:pPr>
        <w:pStyle w:val="B2"/>
        <w:ind w:left="1135"/>
      </w:pPr>
      <w:r w:rsidRPr="00D4437E">
        <w:t xml:space="preserve">2&gt;  submit the </w:t>
      </w:r>
      <w:proofErr w:type="spellStart"/>
      <w:r w:rsidRPr="00D4437E">
        <w:rPr>
          <w:i/>
          <w:iCs/>
        </w:rPr>
        <w:t>RRCReconfigurationComplete</w:t>
      </w:r>
      <w:proofErr w:type="spellEnd"/>
      <w:r w:rsidRPr="00D4437E">
        <w:t xml:space="preserve"> message via SRB1 to lower layers for transmission using the new </w:t>
      </w:r>
      <w:proofErr w:type="gramStart"/>
      <w:r w:rsidRPr="00D4437E">
        <w:t>configuration;</w:t>
      </w:r>
      <w:proofErr w:type="gramEnd"/>
    </w:p>
    <w:p w14:paraId="78809CD9" w14:textId="77777777" w:rsidR="00427446" w:rsidRPr="00D4437E" w:rsidRDefault="00427446" w:rsidP="0014704D">
      <w:pPr>
        <w:pStyle w:val="B2"/>
        <w:ind w:left="1135"/>
      </w:pPr>
      <w:r w:rsidRPr="00D4437E">
        <w:lastRenderedPageBreak/>
        <w:t xml:space="preserve">2&gt;  if this is the first </w:t>
      </w:r>
      <w:proofErr w:type="spellStart"/>
      <w:r w:rsidRPr="00D4437E">
        <w:rPr>
          <w:i/>
          <w:iCs/>
        </w:rPr>
        <w:t>RRCReconfiguration</w:t>
      </w:r>
      <w:proofErr w:type="spellEnd"/>
      <w:r w:rsidRPr="00D4437E">
        <w:t xml:space="preserve"> message after successful completion of the RRC re-establishment procedure:</w:t>
      </w:r>
    </w:p>
    <w:p w14:paraId="790E2BA3" w14:textId="77777777" w:rsidR="00427446" w:rsidRPr="00D4437E" w:rsidRDefault="00427446" w:rsidP="0014704D">
      <w:pPr>
        <w:pStyle w:val="B3"/>
        <w:ind w:left="1419"/>
      </w:pPr>
      <w:r w:rsidRPr="00D4437E">
        <w:t xml:space="preserve">3&gt;  resume SRB2, SRB4, DRBs, multicast MRB, and BH RLC channels for IAB-MT, and </w:t>
      </w:r>
      <w:proofErr w:type="spellStart"/>
      <w:r w:rsidRPr="00D4437E">
        <w:t>Uu</w:t>
      </w:r>
      <w:proofErr w:type="spellEnd"/>
      <w:r w:rsidRPr="00D4437E">
        <w:t xml:space="preserve"> Relay RLC channels for L2 U2N Relay UE, that are </w:t>
      </w:r>
      <w:proofErr w:type="gramStart"/>
      <w:r w:rsidRPr="00D4437E">
        <w:t>suspended;</w:t>
      </w:r>
      <w:proofErr w:type="gramEnd"/>
    </w:p>
    <w:p w14:paraId="6DBF4E8F" w14:textId="79098D08" w:rsidR="00427446" w:rsidRPr="007D3BAC" w:rsidRDefault="007D3BAC" w:rsidP="0014704D">
      <w:pPr>
        <w:jc w:val="both"/>
        <w:rPr>
          <w:b/>
          <w:bCs/>
        </w:rPr>
      </w:pPr>
      <w:r w:rsidRPr="007D3BAC">
        <w:rPr>
          <w:b/>
          <w:bCs/>
        </w:rPr>
        <w:t>Observation 2</w:t>
      </w:r>
      <w:r w:rsidR="00427446" w:rsidRPr="007D3BAC">
        <w:rPr>
          <w:b/>
          <w:bCs/>
        </w:rPr>
        <w:t xml:space="preserve">: </w:t>
      </w:r>
      <w:r w:rsidR="006662CB">
        <w:rPr>
          <w:b/>
          <w:bCs/>
        </w:rPr>
        <w:t>The following principles apply to SCG when MN is changed:</w:t>
      </w:r>
    </w:p>
    <w:p w14:paraId="5F35C0DA" w14:textId="77777777" w:rsidR="00427446" w:rsidRPr="007D3BAC" w:rsidRDefault="00427446" w:rsidP="00427446">
      <w:pPr>
        <w:pStyle w:val="ListParagraph"/>
        <w:numPr>
          <w:ilvl w:val="0"/>
          <w:numId w:val="15"/>
        </w:numPr>
        <w:jc w:val="both"/>
        <w:rPr>
          <w:rFonts w:ascii="Times New Roman" w:hAnsi="Times New Roman" w:cs="Times New Roman"/>
          <w:b/>
          <w:bCs/>
          <w:sz w:val="20"/>
        </w:rPr>
      </w:pPr>
      <w:r w:rsidRPr="007D3BAC">
        <w:rPr>
          <w:rFonts w:ascii="Times New Roman" w:hAnsi="Times New Roman" w:cs="Times New Roman"/>
          <w:b/>
          <w:bCs/>
          <w:sz w:val="20"/>
        </w:rPr>
        <w:t xml:space="preserve">if the </w:t>
      </w:r>
      <w:proofErr w:type="spellStart"/>
      <w:r w:rsidRPr="007D3BAC">
        <w:rPr>
          <w:rFonts w:ascii="Times New Roman" w:hAnsi="Times New Roman" w:cs="Times New Roman"/>
          <w:b/>
          <w:bCs/>
          <w:i/>
          <w:iCs/>
          <w:sz w:val="20"/>
        </w:rPr>
        <w:t>mrdc-secondarycellgroupconfig</w:t>
      </w:r>
      <w:proofErr w:type="spellEnd"/>
      <w:r w:rsidRPr="007D3BAC">
        <w:rPr>
          <w:rFonts w:ascii="Times New Roman" w:hAnsi="Times New Roman" w:cs="Times New Roman"/>
          <w:b/>
          <w:bCs/>
          <w:sz w:val="20"/>
        </w:rPr>
        <w:t xml:space="preserve"> is set to </w:t>
      </w:r>
      <w:r w:rsidRPr="007D3BAC">
        <w:rPr>
          <w:rFonts w:ascii="Times New Roman" w:hAnsi="Times New Roman" w:cs="Times New Roman"/>
          <w:b/>
          <w:bCs/>
          <w:i/>
          <w:iCs/>
          <w:sz w:val="20"/>
        </w:rPr>
        <w:t>release</w:t>
      </w:r>
      <w:r w:rsidRPr="007D3BAC">
        <w:rPr>
          <w:rFonts w:ascii="Times New Roman" w:hAnsi="Times New Roman" w:cs="Times New Roman"/>
          <w:b/>
          <w:bCs/>
          <w:sz w:val="20"/>
        </w:rPr>
        <w:t>, the UE releases the SCG config.</w:t>
      </w:r>
    </w:p>
    <w:p w14:paraId="2C34639B" w14:textId="5072C2CF" w:rsidR="00427446" w:rsidRPr="007D3BAC" w:rsidRDefault="006662CB" w:rsidP="1358D1AF">
      <w:pPr>
        <w:pStyle w:val="ListParagraph"/>
        <w:numPr>
          <w:ilvl w:val="0"/>
          <w:numId w:val="15"/>
        </w:numPr>
        <w:jc w:val="both"/>
        <w:rPr>
          <w:rFonts w:ascii="Times New Roman" w:hAnsi="Times New Roman" w:cs="Times New Roman"/>
          <w:b/>
          <w:bCs/>
          <w:sz w:val="20"/>
        </w:rPr>
      </w:pPr>
      <w:r>
        <w:rPr>
          <w:rFonts w:ascii="Times New Roman" w:hAnsi="Times New Roman" w:cs="Times New Roman"/>
          <w:b/>
          <w:bCs/>
          <w:sz w:val="20"/>
        </w:rPr>
        <w:t>i</w:t>
      </w:r>
      <w:r w:rsidR="55F6754B" w:rsidRPr="1358D1AF">
        <w:rPr>
          <w:rFonts w:ascii="Times New Roman" w:hAnsi="Times New Roman" w:cs="Times New Roman"/>
          <w:b/>
          <w:bCs/>
          <w:sz w:val="20"/>
        </w:rPr>
        <w:t xml:space="preserve">f the </w:t>
      </w:r>
      <w:proofErr w:type="spellStart"/>
      <w:r w:rsidR="55F6754B" w:rsidRPr="1358D1AF">
        <w:rPr>
          <w:rFonts w:ascii="Times New Roman" w:hAnsi="Times New Roman" w:cs="Times New Roman"/>
          <w:b/>
          <w:bCs/>
          <w:i/>
          <w:iCs/>
          <w:sz w:val="20"/>
        </w:rPr>
        <w:t>mrdc-secondarycellgroupconfig</w:t>
      </w:r>
      <w:proofErr w:type="spellEnd"/>
      <w:r w:rsidR="55F6754B" w:rsidRPr="1358D1AF">
        <w:rPr>
          <w:rFonts w:ascii="Times New Roman" w:hAnsi="Times New Roman" w:cs="Times New Roman"/>
          <w:b/>
          <w:bCs/>
          <w:sz w:val="20"/>
        </w:rPr>
        <w:t xml:space="preserve"> is absent and </w:t>
      </w:r>
      <w:proofErr w:type="spellStart"/>
      <w:r w:rsidR="55F6754B" w:rsidRPr="1358D1AF">
        <w:rPr>
          <w:rFonts w:ascii="Times New Roman" w:hAnsi="Times New Roman" w:cs="Times New Roman"/>
          <w:b/>
          <w:bCs/>
          <w:i/>
          <w:iCs/>
          <w:sz w:val="20"/>
        </w:rPr>
        <w:t>scg</w:t>
      </w:r>
      <w:proofErr w:type="spellEnd"/>
      <w:r w:rsidR="55F6754B" w:rsidRPr="1358D1AF">
        <w:rPr>
          <w:rFonts w:ascii="Times New Roman" w:hAnsi="Times New Roman" w:cs="Times New Roman"/>
          <w:b/>
          <w:bCs/>
          <w:i/>
          <w:iCs/>
          <w:sz w:val="20"/>
        </w:rPr>
        <w:t>-state</w:t>
      </w:r>
      <w:r w:rsidR="55F6754B" w:rsidRPr="1358D1AF">
        <w:rPr>
          <w:rFonts w:ascii="Times New Roman" w:hAnsi="Times New Roman" w:cs="Times New Roman"/>
          <w:b/>
          <w:bCs/>
          <w:sz w:val="20"/>
        </w:rPr>
        <w:t xml:space="preserve"> is configured, the UE deactivates the SCG but keeps it.</w:t>
      </w:r>
    </w:p>
    <w:p w14:paraId="70DE072C" w14:textId="5DA8542B" w:rsidR="00427446" w:rsidRPr="007D3BAC" w:rsidRDefault="006662CB" w:rsidP="00427446">
      <w:pPr>
        <w:pStyle w:val="ListParagraph"/>
        <w:numPr>
          <w:ilvl w:val="0"/>
          <w:numId w:val="15"/>
        </w:numPr>
        <w:jc w:val="both"/>
        <w:rPr>
          <w:rFonts w:ascii="Times New Roman" w:hAnsi="Times New Roman" w:cs="Times New Roman"/>
          <w:b/>
          <w:bCs/>
          <w:sz w:val="20"/>
        </w:rPr>
      </w:pPr>
      <w:r>
        <w:rPr>
          <w:rFonts w:ascii="Times New Roman" w:hAnsi="Times New Roman" w:cs="Times New Roman"/>
          <w:b/>
          <w:bCs/>
          <w:sz w:val="20"/>
        </w:rPr>
        <w:t>i</w:t>
      </w:r>
      <w:r w:rsidR="00427446" w:rsidRPr="007D3BAC">
        <w:rPr>
          <w:rFonts w:ascii="Times New Roman" w:hAnsi="Times New Roman" w:cs="Times New Roman"/>
          <w:b/>
          <w:bCs/>
          <w:sz w:val="20"/>
        </w:rPr>
        <w:t xml:space="preserve">f the </w:t>
      </w:r>
      <w:proofErr w:type="spellStart"/>
      <w:r w:rsidR="00427446" w:rsidRPr="007D3BAC">
        <w:rPr>
          <w:rFonts w:ascii="Times New Roman" w:hAnsi="Times New Roman" w:cs="Times New Roman"/>
          <w:b/>
          <w:bCs/>
          <w:i/>
          <w:iCs/>
          <w:sz w:val="20"/>
        </w:rPr>
        <w:t>mrdc-secondarycellgroupconfig</w:t>
      </w:r>
      <w:proofErr w:type="spellEnd"/>
      <w:r w:rsidR="00427446" w:rsidRPr="007D3BAC">
        <w:rPr>
          <w:rFonts w:ascii="Times New Roman" w:hAnsi="Times New Roman" w:cs="Times New Roman"/>
          <w:b/>
          <w:bCs/>
          <w:sz w:val="20"/>
        </w:rPr>
        <w:t xml:space="preserve"> is absent and </w:t>
      </w:r>
      <w:proofErr w:type="spellStart"/>
      <w:r w:rsidR="00427446" w:rsidRPr="007D3BAC">
        <w:rPr>
          <w:rFonts w:ascii="Times New Roman" w:hAnsi="Times New Roman" w:cs="Times New Roman"/>
          <w:b/>
          <w:bCs/>
          <w:i/>
          <w:iCs/>
          <w:sz w:val="20"/>
        </w:rPr>
        <w:t>scg</w:t>
      </w:r>
      <w:proofErr w:type="spellEnd"/>
      <w:r w:rsidR="00427446" w:rsidRPr="007D3BAC">
        <w:rPr>
          <w:rFonts w:ascii="Times New Roman" w:hAnsi="Times New Roman" w:cs="Times New Roman"/>
          <w:b/>
          <w:bCs/>
          <w:i/>
          <w:iCs/>
          <w:sz w:val="20"/>
        </w:rPr>
        <w:t>-state</w:t>
      </w:r>
      <w:r w:rsidR="00427446" w:rsidRPr="007D3BAC">
        <w:rPr>
          <w:rFonts w:ascii="Times New Roman" w:hAnsi="Times New Roman" w:cs="Times New Roman"/>
          <w:b/>
          <w:bCs/>
          <w:sz w:val="20"/>
        </w:rPr>
        <w:t xml:space="preserve"> is not configured, then the UE performs MN change (or </w:t>
      </w:r>
      <w:proofErr w:type="spellStart"/>
      <w:r w:rsidR="00427446" w:rsidRPr="007D3BAC">
        <w:rPr>
          <w:rFonts w:ascii="Times New Roman" w:hAnsi="Times New Roman" w:cs="Times New Roman"/>
          <w:b/>
          <w:bCs/>
          <w:sz w:val="20"/>
        </w:rPr>
        <w:t>PCell</w:t>
      </w:r>
      <w:proofErr w:type="spellEnd"/>
      <w:r w:rsidR="00427446" w:rsidRPr="007D3BAC">
        <w:rPr>
          <w:rFonts w:ascii="Times New Roman" w:hAnsi="Times New Roman" w:cs="Times New Roman"/>
          <w:b/>
          <w:bCs/>
          <w:sz w:val="20"/>
        </w:rPr>
        <w:t xml:space="preserve"> change) without </w:t>
      </w:r>
      <w:proofErr w:type="spellStart"/>
      <w:r w:rsidR="00427446" w:rsidRPr="007D3BAC">
        <w:rPr>
          <w:rFonts w:ascii="Times New Roman" w:hAnsi="Times New Roman" w:cs="Times New Roman"/>
          <w:b/>
          <w:bCs/>
          <w:sz w:val="20"/>
        </w:rPr>
        <w:t>PSCell</w:t>
      </w:r>
      <w:proofErr w:type="spellEnd"/>
      <w:r w:rsidR="00427446" w:rsidRPr="007D3BAC">
        <w:rPr>
          <w:rFonts w:ascii="Times New Roman" w:hAnsi="Times New Roman" w:cs="Times New Roman"/>
          <w:b/>
          <w:bCs/>
          <w:sz w:val="20"/>
        </w:rPr>
        <w:t xml:space="preserve"> change.</w:t>
      </w:r>
    </w:p>
    <w:p w14:paraId="26D85D57" w14:textId="4953F4D5" w:rsidR="00427446" w:rsidRDefault="007D3BAC" w:rsidP="009339CB">
      <w:r>
        <w:rPr>
          <w:b/>
          <w:bCs/>
        </w:rPr>
        <w:t>Observation</w:t>
      </w:r>
      <w:r w:rsidR="00E33461" w:rsidRPr="00E33461">
        <w:rPr>
          <w:b/>
          <w:bCs/>
        </w:rPr>
        <w:t xml:space="preserve"> </w:t>
      </w:r>
      <w:r w:rsidR="00241D36">
        <w:rPr>
          <w:b/>
          <w:bCs/>
        </w:rPr>
        <w:t>3</w:t>
      </w:r>
      <w:r w:rsidR="00E33461">
        <w:rPr>
          <w:b/>
          <w:bCs/>
        </w:rPr>
        <w:t xml:space="preserve">: </w:t>
      </w:r>
      <w:r w:rsidR="006662CB">
        <w:rPr>
          <w:b/>
          <w:bCs/>
        </w:rPr>
        <w:t>As per</w:t>
      </w:r>
      <w:r w:rsidR="00F76089">
        <w:rPr>
          <w:b/>
          <w:bCs/>
        </w:rPr>
        <w:t xml:space="preserve"> legacy</w:t>
      </w:r>
      <w:r w:rsidR="006662CB">
        <w:rPr>
          <w:b/>
          <w:bCs/>
        </w:rPr>
        <w:t xml:space="preserve"> specification</w:t>
      </w:r>
      <w:r w:rsidR="00F76089">
        <w:rPr>
          <w:b/>
          <w:bCs/>
        </w:rPr>
        <w:t xml:space="preserve"> the </w:t>
      </w:r>
      <w:r>
        <w:rPr>
          <w:b/>
          <w:bCs/>
        </w:rPr>
        <w:t xml:space="preserve">MN should configure the SCG Release at the time of the </w:t>
      </w:r>
      <w:r w:rsidR="006662CB">
        <w:rPr>
          <w:b/>
          <w:bCs/>
        </w:rPr>
        <w:t xml:space="preserve">MN change </w:t>
      </w:r>
      <w:r>
        <w:rPr>
          <w:b/>
          <w:bCs/>
        </w:rPr>
        <w:t>preparation.</w:t>
      </w:r>
    </w:p>
    <w:p w14:paraId="6327A5E6" w14:textId="7CD377D5" w:rsidR="009339CB" w:rsidRPr="006E13D1" w:rsidRDefault="009339CB" w:rsidP="009339CB">
      <w:pPr>
        <w:pStyle w:val="Heading2"/>
      </w:pPr>
      <w:r>
        <w:t>2</w:t>
      </w:r>
      <w:r w:rsidRPr="006E13D1">
        <w:t>.2</w:t>
      </w:r>
      <w:r w:rsidRPr="006E13D1">
        <w:tab/>
      </w:r>
      <w:r w:rsidR="004A7A6C">
        <w:t>SCG Release for LTM</w:t>
      </w:r>
    </w:p>
    <w:p w14:paraId="062D9A73" w14:textId="3F5E4404" w:rsidR="007D3BAC" w:rsidRPr="007D3BAC" w:rsidRDefault="01F2F9D1" w:rsidP="000A6192">
      <w:pPr>
        <w:jc w:val="both"/>
      </w:pPr>
      <w:r>
        <w:t>According to the agreements in RAN2#123 the MN should release the SN at the time of the cell change</w:t>
      </w:r>
      <w:r w:rsidR="006662CB">
        <w:t xml:space="preserve"> (LTM execution)</w:t>
      </w:r>
      <w:r>
        <w:t>. This can be performed in two ways:</w:t>
      </w:r>
    </w:p>
    <w:p w14:paraId="17E06806" w14:textId="5A1A321F" w:rsidR="007F1779" w:rsidRPr="007D3BAC" w:rsidRDefault="007F1779" w:rsidP="000A6192">
      <w:pPr>
        <w:pStyle w:val="ListParagraph"/>
        <w:numPr>
          <w:ilvl w:val="0"/>
          <w:numId w:val="18"/>
        </w:numPr>
        <w:jc w:val="both"/>
        <w:rPr>
          <w:rFonts w:ascii="Times New Roman" w:hAnsi="Times New Roman" w:cs="Times New Roman"/>
          <w:sz w:val="20"/>
        </w:rPr>
      </w:pPr>
      <w:r w:rsidRPr="007D3BAC">
        <w:rPr>
          <w:rFonts w:ascii="Times New Roman" w:hAnsi="Times New Roman" w:cs="Times New Roman"/>
          <w:sz w:val="20"/>
        </w:rPr>
        <w:t>Option 1: explicit configuration</w:t>
      </w:r>
      <w:r w:rsidR="007D3BAC" w:rsidRPr="007D3BAC">
        <w:rPr>
          <w:rFonts w:ascii="Times New Roman" w:hAnsi="Times New Roman" w:cs="Times New Roman"/>
          <w:sz w:val="20"/>
        </w:rPr>
        <w:t xml:space="preserve">; as performed in legacy using the </w:t>
      </w:r>
      <w:proofErr w:type="spellStart"/>
      <w:r w:rsidR="007D3BAC" w:rsidRPr="007D3BAC">
        <w:rPr>
          <w:rFonts w:ascii="Times New Roman" w:hAnsi="Times New Roman" w:cs="Times New Roman"/>
          <w:i/>
          <w:iCs/>
          <w:sz w:val="20"/>
        </w:rPr>
        <w:t>mrdc-secondarycellgroupconfig</w:t>
      </w:r>
      <w:proofErr w:type="spellEnd"/>
      <w:r w:rsidR="007D3BAC" w:rsidRPr="007D3BAC">
        <w:rPr>
          <w:rFonts w:ascii="Times New Roman" w:hAnsi="Times New Roman" w:cs="Times New Roman"/>
          <w:sz w:val="20"/>
        </w:rPr>
        <w:t xml:space="preserve"> as part of the target cell configuration</w:t>
      </w:r>
      <w:r w:rsidR="007D3BAC">
        <w:rPr>
          <w:rFonts w:ascii="Times New Roman" w:hAnsi="Times New Roman" w:cs="Times New Roman"/>
          <w:sz w:val="20"/>
        </w:rPr>
        <w:t xml:space="preserve">; this option is similar to the legacy </w:t>
      </w:r>
      <w:r w:rsidR="007E582F">
        <w:rPr>
          <w:rFonts w:ascii="Times New Roman" w:hAnsi="Times New Roman" w:cs="Times New Roman"/>
          <w:sz w:val="20"/>
        </w:rPr>
        <w:t>behavior.</w:t>
      </w:r>
    </w:p>
    <w:p w14:paraId="00EEEC23" w14:textId="3FDEA62C" w:rsidR="007F1779" w:rsidRPr="007D3BAC" w:rsidRDefault="007F1779" w:rsidP="1358D1AF">
      <w:pPr>
        <w:pStyle w:val="ListParagraph"/>
        <w:numPr>
          <w:ilvl w:val="0"/>
          <w:numId w:val="18"/>
        </w:numPr>
        <w:jc w:val="both"/>
        <w:rPr>
          <w:rFonts w:ascii="Times New Roman" w:hAnsi="Times New Roman" w:cs="Times New Roman"/>
          <w:sz w:val="20"/>
        </w:rPr>
      </w:pPr>
      <w:r w:rsidRPr="1358D1AF">
        <w:rPr>
          <w:rFonts w:ascii="Times New Roman" w:hAnsi="Times New Roman" w:cs="Times New Roman"/>
          <w:sz w:val="20"/>
        </w:rPr>
        <w:t xml:space="preserve">Option 2: </w:t>
      </w:r>
      <w:r w:rsidRPr="001C7011">
        <w:rPr>
          <w:rFonts w:ascii="Times New Roman" w:hAnsi="Times New Roman" w:cs="Times New Roman"/>
          <w:sz w:val="20"/>
        </w:rPr>
        <w:t xml:space="preserve">implicit </w:t>
      </w:r>
      <w:r w:rsidRPr="008D0150">
        <w:rPr>
          <w:rFonts w:ascii="Times New Roman" w:hAnsi="Times New Roman" w:cs="Times New Roman"/>
          <w:sz w:val="20"/>
        </w:rPr>
        <w:t>configuration</w:t>
      </w:r>
      <w:r w:rsidR="007E582F" w:rsidRPr="001C7011">
        <w:rPr>
          <w:rFonts w:ascii="Times New Roman" w:hAnsi="Times New Roman" w:cs="Times New Roman"/>
          <w:sz w:val="20"/>
        </w:rPr>
        <w:t>; in this</w:t>
      </w:r>
      <w:r w:rsidR="007E582F" w:rsidRPr="1358D1AF">
        <w:rPr>
          <w:rFonts w:ascii="Times New Roman" w:hAnsi="Times New Roman" w:cs="Times New Roman"/>
          <w:sz w:val="20"/>
        </w:rPr>
        <w:t xml:space="preserve"> case the UE will autonomously release the SN at the</w:t>
      </w:r>
      <w:r w:rsidR="00740F5B" w:rsidRPr="1358D1AF">
        <w:rPr>
          <w:rFonts w:ascii="Times New Roman" w:hAnsi="Times New Roman" w:cs="Times New Roman"/>
          <w:sz w:val="20"/>
        </w:rPr>
        <w:t xml:space="preserve"> time of the cell switch</w:t>
      </w:r>
      <w:r w:rsidR="007E582F" w:rsidRPr="1358D1AF">
        <w:rPr>
          <w:rFonts w:ascii="Times New Roman" w:hAnsi="Times New Roman" w:cs="Times New Roman"/>
          <w:sz w:val="20"/>
        </w:rPr>
        <w:t>.</w:t>
      </w:r>
      <w:r w:rsidRPr="1358D1AF">
        <w:rPr>
          <w:rFonts w:ascii="Times New Roman" w:hAnsi="Times New Roman" w:cs="Times New Roman"/>
          <w:sz w:val="20"/>
        </w:rPr>
        <w:t xml:space="preserve"> </w:t>
      </w:r>
    </w:p>
    <w:p w14:paraId="76C38757" w14:textId="34E46B9E" w:rsidR="007F1779" w:rsidRDefault="007E582F" w:rsidP="000A6192">
      <w:pPr>
        <w:jc w:val="both"/>
      </w:pPr>
      <w:r>
        <w:t>Option 1 has the benefit that has limited standardization impact</w:t>
      </w:r>
      <w:r w:rsidR="0018436C">
        <w:t xml:space="preserve"> in terms of RRC and UE operation</w:t>
      </w:r>
      <w:r>
        <w:t xml:space="preserve"> whereas </w:t>
      </w:r>
      <w:r w:rsidR="00112764">
        <w:t xml:space="preserve">Option 2 </w:t>
      </w:r>
      <w:r w:rsidR="0018436C">
        <w:t>requires UE behaviour to be standardized</w:t>
      </w:r>
      <w:r w:rsidR="00112764">
        <w:t xml:space="preserve"> and possibly has </w:t>
      </w:r>
      <w:r w:rsidR="009857F4">
        <w:t>future-proofness</w:t>
      </w:r>
      <w:r w:rsidR="00112764">
        <w:t xml:space="preserve"> </w:t>
      </w:r>
      <w:r w:rsidR="009857F4">
        <w:t>issues</w:t>
      </w:r>
      <w:r w:rsidR="00C9251D">
        <w:t xml:space="preserve"> (since in future releases </w:t>
      </w:r>
      <w:r w:rsidR="00E3386A">
        <w:t>implicit behaviour may be different</w:t>
      </w:r>
      <w:r w:rsidR="00C9251D">
        <w:t>)</w:t>
      </w:r>
      <w:r w:rsidR="0018436C">
        <w:t xml:space="preserve">. In both cases though the interactions between the MN and the SN need to be standardized, so as to ensure that both of them will be in accordance. </w:t>
      </w:r>
      <w:r w:rsidR="000A6192">
        <w:t>Specifically</w:t>
      </w:r>
      <w:r w:rsidR="0030408E">
        <w:t>,</w:t>
      </w:r>
      <w:r w:rsidR="000A6192">
        <w:t xml:space="preserve"> the MN and the SN need to be coordinated on when the SN release required will take place, i.e., at the time of the cell preparation or at the time of the cell change triggering. Additionally, UE behaviour needs to be clarified if the MN configures </w:t>
      </w:r>
      <w:r w:rsidR="0074115B">
        <w:t>SN release at the time of the cell change and SN in the meantime releases the SCG.</w:t>
      </w:r>
    </w:p>
    <w:p w14:paraId="73C94C72" w14:textId="09FCA5C2" w:rsidR="0018436C" w:rsidRPr="0018436C" w:rsidRDefault="0018436C" w:rsidP="000A6192">
      <w:pPr>
        <w:jc w:val="both"/>
        <w:rPr>
          <w:b/>
          <w:bCs/>
        </w:rPr>
      </w:pPr>
      <w:r w:rsidRPr="0018436C">
        <w:rPr>
          <w:b/>
          <w:bCs/>
        </w:rPr>
        <w:t xml:space="preserve">Observation </w:t>
      </w:r>
      <w:r w:rsidR="00241D36">
        <w:rPr>
          <w:b/>
          <w:bCs/>
        </w:rPr>
        <w:t>4</w:t>
      </w:r>
      <w:r w:rsidRPr="0018436C">
        <w:rPr>
          <w:b/>
          <w:bCs/>
        </w:rPr>
        <w:t xml:space="preserve">: The SN can be released with either implicit or explicit configuration. The decision on which of the two approaches will be followed has impact in UE operation and MN interactions. </w:t>
      </w:r>
    </w:p>
    <w:p w14:paraId="0696999D" w14:textId="235A90DE" w:rsidR="0018436C" w:rsidRDefault="0018436C" w:rsidP="000A6192">
      <w:pPr>
        <w:jc w:val="both"/>
        <w:rPr>
          <w:b/>
          <w:bCs/>
        </w:rPr>
      </w:pPr>
      <w:r w:rsidRPr="0018436C">
        <w:rPr>
          <w:b/>
          <w:bCs/>
        </w:rPr>
        <w:t xml:space="preserve">Observation </w:t>
      </w:r>
      <w:r w:rsidR="00241D36">
        <w:rPr>
          <w:b/>
          <w:bCs/>
        </w:rPr>
        <w:t>5</w:t>
      </w:r>
      <w:r w:rsidRPr="0018436C">
        <w:rPr>
          <w:b/>
          <w:bCs/>
        </w:rPr>
        <w:t>: Option 1 with explicit configuration has limited standardization impact in terms of RRC and UE operation</w:t>
      </w:r>
      <w:r>
        <w:rPr>
          <w:b/>
          <w:bCs/>
        </w:rPr>
        <w:t>.</w:t>
      </w:r>
    </w:p>
    <w:p w14:paraId="066013B6" w14:textId="0C3EA93A" w:rsidR="0018436C" w:rsidRDefault="0018436C" w:rsidP="000A6192">
      <w:pPr>
        <w:jc w:val="both"/>
        <w:rPr>
          <w:b/>
          <w:bCs/>
        </w:rPr>
      </w:pPr>
      <w:r>
        <w:rPr>
          <w:b/>
          <w:bCs/>
        </w:rPr>
        <w:t xml:space="preserve">Proposal </w:t>
      </w:r>
      <w:r w:rsidR="007E5DF5">
        <w:rPr>
          <w:b/>
          <w:bCs/>
        </w:rPr>
        <w:t>1</w:t>
      </w:r>
      <w:r>
        <w:rPr>
          <w:b/>
          <w:bCs/>
        </w:rPr>
        <w:t>:</w:t>
      </w:r>
      <w:r w:rsidR="007C27E9">
        <w:rPr>
          <w:b/>
          <w:bCs/>
        </w:rPr>
        <w:t xml:space="preserve"> </w:t>
      </w:r>
      <w:r>
        <w:rPr>
          <w:b/>
          <w:bCs/>
        </w:rPr>
        <w:t xml:space="preserve">RAN2 to </w:t>
      </w:r>
      <w:r w:rsidR="007C27E9">
        <w:rPr>
          <w:b/>
          <w:bCs/>
        </w:rPr>
        <w:t xml:space="preserve">agree on Option 1 since it </w:t>
      </w:r>
      <w:r w:rsidR="00EF25C6">
        <w:rPr>
          <w:b/>
          <w:bCs/>
        </w:rPr>
        <w:t>is similar to legacy and has l</w:t>
      </w:r>
      <w:r w:rsidR="001C7011">
        <w:rPr>
          <w:b/>
          <w:bCs/>
        </w:rPr>
        <w:t>ower</w:t>
      </w:r>
      <w:r w:rsidR="00EF25C6">
        <w:rPr>
          <w:b/>
          <w:bCs/>
        </w:rPr>
        <w:t xml:space="preserve"> standardization impact</w:t>
      </w:r>
      <w:r>
        <w:rPr>
          <w:b/>
          <w:bCs/>
        </w:rPr>
        <w:t xml:space="preserve">. </w:t>
      </w:r>
    </w:p>
    <w:p w14:paraId="224CDD8F" w14:textId="5AEEDADA" w:rsidR="0018436C" w:rsidRPr="0018436C" w:rsidRDefault="0018436C" w:rsidP="000A6192">
      <w:pPr>
        <w:jc w:val="both"/>
        <w:rPr>
          <w:b/>
          <w:bCs/>
        </w:rPr>
      </w:pPr>
      <w:r>
        <w:rPr>
          <w:b/>
          <w:bCs/>
        </w:rPr>
        <w:t xml:space="preserve">Proposal </w:t>
      </w:r>
      <w:r w:rsidR="007E5DF5">
        <w:rPr>
          <w:b/>
          <w:bCs/>
        </w:rPr>
        <w:t>2</w:t>
      </w:r>
      <w:r>
        <w:rPr>
          <w:b/>
          <w:bCs/>
        </w:rPr>
        <w:t xml:space="preserve">: </w:t>
      </w:r>
      <w:r w:rsidR="00F5456F">
        <w:rPr>
          <w:b/>
          <w:bCs/>
        </w:rPr>
        <w:t>RAN2</w:t>
      </w:r>
      <w:r>
        <w:rPr>
          <w:b/>
          <w:bCs/>
        </w:rPr>
        <w:t xml:space="preserve"> to inform RAN3 about the selected option</w:t>
      </w:r>
      <w:r w:rsidR="001C7011">
        <w:rPr>
          <w:b/>
          <w:bCs/>
        </w:rPr>
        <w:t xml:space="preserve"> and ask RAN3 to</w:t>
      </w:r>
      <w:r>
        <w:rPr>
          <w:b/>
          <w:bCs/>
        </w:rPr>
        <w:t xml:space="preserve"> define the required signalling and MN/SN behaviours. </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3E2BC5D7" w14:textId="77777777" w:rsidR="0026279E" w:rsidRPr="00427446" w:rsidRDefault="0026279E" w:rsidP="0026279E">
      <w:pPr>
        <w:rPr>
          <w:b/>
          <w:bCs/>
        </w:rPr>
      </w:pPr>
      <w:r w:rsidRPr="00427446">
        <w:rPr>
          <w:b/>
          <w:bCs/>
        </w:rPr>
        <w:t>Observation 1:</w:t>
      </w:r>
      <w:r>
        <w:rPr>
          <w:b/>
          <w:bCs/>
        </w:rPr>
        <w:t xml:space="preserve"> MN can configure the SN Release in legacy Dual Connectivity; for the configuration of the release the MN needs to coordinate with the SN.</w:t>
      </w:r>
    </w:p>
    <w:p w14:paraId="15124F50" w14:textId="77777777" w:rsidR="00FD5560" w:rsidRPr="007D3BAC" w:rsidRDefault="00FD5560" w:rsidP="00FD5560">
      <w:pPr>
        <w:jc w:val="both"/>
        <w:rPr>
          <w:b/>
          <w:bCs/>
        </w:rPr>
      </w:pPr>
      <w:r w:rsidRPr="007D3BAC">
        <w:rPr>
          <w:b/>
          <w:bCs/>
        </w:rPr>
        <w:t xml:space="preserve">Observation 2: </w:t>
      </w:r>
      <w:r>
        <w:rPr>
          <w:b/>
          <w:bCs/>
        </w:rPr>
        <w:t>The following principles apply to SCG when MN is changed:</w:t>
      </w:r>
    </w:p>
    <w:p w14:paraId="7A79652F" w14:textId="77777777" w:rsidR="00FD5560" w:rsidRPr="007D3BAC" w:rsidRDefault="00FD5560" w:rsidP="00FD5560">
      <w:pPr>
        <w:pStyle w:val="ListParagraph"/>
        <w:numPr>
          <w:ilvl w:val="0"/>
          <w:numId w:val="15"/>
        </w:numPr>
        <w:jc w:val="both"/>
        <w:rPr>
          <w:rFonts w:ascii="Times New Roman" w:hAnsi="Times New Roman" w:cs="Times New Roman"/>
          <w:b/>
          <w:bCs/>
          <w:sz w:val="20"/>
        </w:rPr>
      </w:pPr>
      <w:r w:rsidRPr="007D3BAC">
        <w:rPr>
          <w:rFonts w:ascii="Times New Roman" w:hAnsi="Times New Roman" w:cs="Times New Roman"/>
          <w:b/>
          <w:bCs/>
          <w:sz w:val="20"/>
        </w:rPr>
        <w:t xml:space="preserve">if the </w:t>
      </w:r>
      <w:proofErr w:type="spellStart"/>
      <w:r w:rsidRPr="007D3BAC">
        <w:rPr>
          <w:rFonts w:ascii="Times New Roman" w:hAnsi="Times New Roman" w:cs="Times New Roman"/>
          <w:b/>
          <w:bCs/>
          <w:i/>
          <w:iCs/>
          <w:sz w:val="20"/>
        </w:rPr>
        <w:t>mrdc-secondarycellgroupconfig</w:t>
      </w:r>
      <w:proofErr w:type="spellEnd"/>
      <w:r w:rsidRPr="007D3BAC">
        <w:rPr>
          <w:rFonts w:ascii="Times New Roman" w:hAnsi="Times New Roman" w:cs="Times New Roman"/>
          <w:b/>
          <w:bCs/>
          <w:sz w:val="20"/>
        </w:rPr>
        <w:t xml:space="preserve"> is set to </w:t>
      </w:r>
      <w:r w:rsidRPr="007D3BAC">
        <w:rPr>
          <w:rFonts w:ascii="Times New Roman" w:hAnsi="Times New Roman" w:cs="Times New Roman"/>
          <w:b/>
          <w:bCs/>
          <w:i/>
          <w:iCs/>
          <w:sz w:val="20"/>
        </w:rPr>
        <w:t>release</w:t>
      </w:r>
      <w:r w:rsidRPr="007D3BAC">
        <w:rPr>
          <w:rFonts w:ascii="Times New Roman" w:hAnsi="Times New Roman" w:cs="Times New Roman"/>
          <w:b/>
          <w:bCs/>
          <w:sz w:val="20"/>
        </w:rPr>
        <w:t>, the UE releases the SCG config.</w:t>
      </w:r>
    </w:p>
    <w:p w14:paraId="1E2BB3F6" w14:textId="77777777" w:rsidR="00FD5560" w:rsidRPr="007D3BAC" w:rsidRDefault="00FD5560" w:rsidP="00FD5560">
      <w:pPr>
        <w:pStyle w:val="ListParagraph"/>
        <w:numPr>
          <w:ilvl w:val="0"/>
          <w:numId w:val="15"/>
        </w:numPr>
        <w:jc w:val="both"/>
        <w:rPr>
          <w:rFonts w:ascii="Times New Roman" w:hAnsi="Times New Roman" w:cs="Times New Roman"/>
          <w:b/>
          <w:bCs/>
          <w:sz w:val="20"/>
        </w:rPr>
      </w:pPr>
      <w:r>
        <w:rPr>
          <w:rFonts w:ascii="Times New Roman" w:hAnsi="Times New Roman" w:cs="Times New Roman"/>
          <w:b/>
          <w:bCs/>
          <w:sz w:val="20"/>
        </w:rPr>
        <w:t>i</w:t>
      </w:r>
      <w:r w:rsidRPr="1358D1AF">
        <w:rPr>
          <w:rFonts w:ascii="Times New Roman" w:hAnsi="Times New Roman" w:cs="Times New Roman"/>
          <w:b/>
          <w:bCs/>
          <w:sz w:val="20"/>
        </w:rPr>
        <w:t xml:space="preserve">f the </w:t>
      </w:r>
      <w:proofErr w:type="spellStart"/>
      <w:r w:rsidRPr="1358D1AF">
        <w:rPr>
          <w:rFonts w:ascii="Times New Roman" w:hAnsi="Times New Roman" w:cs="Times New Roman"/>
          <w:b/>
          <w:bCs/>
          <w:i/>
          <w:iCs/>
          <w:sz w:val="20"/>
        </w:rPr>
        <w:t>mrdc-secondarycellgroupconfig</w:t>
      </w:r>
      <w:proofErr w:type="spellEnd"/>
      <w:r w:rsidRPr="1358D1AF">
        <w:rPr>
          <w:rFonts w:ascii="Times New Roman" w:hAnsi="Times New Roman" w:cs="Times New Roman"/>
          <w:b/>
          <w:bCs/>
          <w:sz w:val="20"/>
        </w:rPr>
        <w:t xml:space="preserve"> is absent and </w:t>
      </w:r>
      <w:proofErr w:type="spellStart"/>
      <w:r w:rsidRPr="1358D1AF">
        <w:rPr>
          <w:rFonts w:ascii="Times New Roman" w:hAnsi="Times New Roman" w:cs="Times New Roman"/>
          <w:b/>
          <w:bCs/>
          <w:i/>
          <w:iCs/>
          <w:sz w:val="20"/>
        </w:rPr>
        <w:t>scg</w:t>
      </w:r>
      <w:proofErr w:type="spellEnd"/>
      <w:r w:rsidRPr="1358D1AF">
        <w:rPr>
          <w:rFonts w:ascii="Times New Roman" w:hAnsi="Times New Roman" w:cs="Times New Roman"/>
          <w:b/>
          <w:bCs/>
          <w:i/>
          <w:iCs/>
          <w:sz w:val="20"/>
        </w:rPr>
        <w:t>-state</w:t>
      </w:r>
      <w:r w:rsidRPr="1358D1AF">
        <w:rPr>
          <w:rFonts w:ascii="Times New Roman" w:hAnsi="Times New Roman" w:cs="Times New Roman"/>
          <w:b/>
          <w:bCs/>
          <w:sz w:val="20"/>
        </w:rPr>
        <w:t xml:space="preserve"> is configured, the UE deactivates the SCG but keeps it.</w:t>
      </w:r>
    </w:p>
    <w:p w14:paraId="0DA3AFD3" w14:textId="77777777" w:rsidR="00FD5560" w:rsidRPr="007D3BAC" w:rsidRDefault="00FD5560" w:rsidP="00FD5560">
      <w:pPr>
        <w:pStyle w:val="ListParagraph"/>
        <w:numPr>
          <w:ilvl w:val="0"/>
          <w:numId w:val="15"/>
        </w:numPr>
        <w:jc w:val="both"/>
        <w:rPr>
          <w:rFonts w:ascii="Times New Roman" w:hAnsi="Times New Roman" w:cs="Times New Roman"/>
          <w:b/>
          <w:bCs/>
          <w:sz w:val="20"/>
        </w:rPr>
      </w:pPr>
      <w:r>
        <w:rPr>
          <w:rFonts w:ascii="Times New Roman" w:hAnsi="Times New Roman" w:cs="Times New Roman"/>
          <w:b/>
          <w:bCs/>
          <w:sz w:val="20"/>
        </w:rPr>
        <w:t>i</w:t>
      </w:r>
      <w:r w:rsidRPr="007D3BAC">
        <w:rPr>
          <w:rFonts w:ascii="Times New Roman" w:hAnsi="Times New Roman" w:cs="Times New Roman"/>
          <w:b/>
          <w:bCs/>
          <w:sz w:val="20"/>
        </w:rPr>
        <w:t xml:space="preserve">f the </w:t>
      </w:r>
      <w:proofErr w:type="spellStart"/>
      <w:r w:rsidRPr="007D3BAC">
        <w:rPr>
          <w:rFonts w:ascii="Times New Roman" w:hAnsi="Times New Roman" w:cs="Times New Roman"/>
          <w:b/>
          <w:bCs/>
          <w:i/>
          <w:iCs/>
          <w:sz w:val="20"/>
        </w:rPr>
        <w:t>mrdc-secondarycellgroupconfig</w:t>
      </w:r>
      <w:proofErr w:type="spellEnd"/>
      <w:r w:rsidRPr="007D3BAC">
        <w:rPr>
          <w:rFonts w:ascii="Times New Roman" w:hAnsi="Times New Roman" w:cs="Times New Roman"/>
          <w:b/>
          <w:bCs/>
          <w:sz w:val="20"/>
        </w:rPr>
        <w:t xml:space="preserve"> is absent and </w:t>
      </w:r>
      <w:proofErr w:type="spellStart"/>
      <w:r w:rsidRPr="007D3BAC">
        <w:rPr>
          <w:rFonts w:ascii="Times New Roman" w:hAnsi="Times New Roman" w:cs="Times New Roman"/>
          <w:b/>
          <w:bCs/>
          <w:i/>
          <w:iCs/>
          <w:sz w:val="20"/>
        </w:rPr>
        <w:t>scg</w:t>
      </w:r>
      <w:proofErr w:type="spellEnd"/>
      <w:r w:rsidRPr="007D3BAC">
        <w:rPr>
          <w:rFonts w:ascii="Times New Roman" w:hAnsi="Times New Roman" w:cs="Times New Roman"/>
          <w:b/>
          <w:bCs/>
          <w:i/>
          <w:iCs/>
          <w:sz w:val="20"/>
        </w:rPr>
        <w:t>-state</w:t>
      </w:r>
      <w:r w:rsidRPr="007D3BAC">
        <w:rPr>
          <w:rFonts w:ascii="Times New Roman" w:hAnsi="Times New Roman" w:cs="Times New Roman"/>
          <w:b/>
          <w:bCs/>
          <w:sz w:val="20"/>
        </w:rPr>
        <w:t xml:space="preserve"> is not configured, then the UE performs MN change (or </w:t>
      </w:r>
      <w:proofErr w:type="spellStart"/>
      <w:r w:rsidRPr="007D3BAC">
        <w:rPr>
          <w:rFonts w:ascii="Times New Roman" w:hAnsi="Times New Roman" w:cs="Times New Roman"/>
          <w:b/>
          <w:bCs/>
          <w:sz w:val="20"/>
        </w:rPr>
        <w:t>PCell</w:t>
      </w:r>
      <w:proofErr w:type="spellEnd"/>
      <w:r w:rsidRPr="007D3BAC">
        <w:rPr>
          <w:rFonts w:ascii="Times New Roman" w:hAnsi="Times New Roman" w:cs="Times New Roman"/>
          <w:b/>
          <w:bCs/>
          <w:sz w:val="20"/>
        </w:rPr>
        <w:t xml:space="preserve"> change) without </w:t>
      </w:r>
      <w:proofErr w:type="spellStart"/>
      <w:r w:rsidRPr="007D3BAC">
        <w:rPr>
          <w:rFonts w:ascii="Times New Roman" w:hAnsi="Times New Roman" w:cs="Times New Roman"/>
          <w:b/>
          <w:bCs/>
          <w:sz w:val="20"/>
        </w:rPr>
        <w:t>PSCell</w:t>
      </w:r>
      <w:proofErr w:type="spellEnd"/>
      <w:r w:rsidRPr="007D3BAC">
        <w:rPr>
          <w:rFonts w:ascii="Times New Roman" w:hAnsi="Times New Roman" w:cs="Times New Roman"/>
          <w:b/>
          <w:bCs/>
          <w:sz w:val="20"/>
        </w:rPr>
        <w:t xml:space="preserve"> change.</w:t>
      </w:r>
    </w:p>
    <w:p w14:paraId="5B9CE1C1" w14:textId="77777777" w:rsidR="00FD5560" w:rsidRDefault="00FD5560" w:rsidP="00FD5560">
      <w:r>
        <w:rPr>
          <w:b/>
          <w:bCs/>
        </w:rPr>
        <w:t>Observation</w:t>
      </w:r>
      <w:r w:rsidRPr="00E33461">
        <w:rPr>
          <w:b/>
          <w:bCs/>
        </w:rPr>
        <w:t xml:space="preserve"> </w:t>
      </w:r>
      <w:r>
        <w:rPr>
          <w:b/>
          <w:bCs/>
        </w:rPr>
        <w:t>3: As per legacy specification the MN should configure the SCG Release at the time of the MN change preparation.</w:t>
      </w:r>
    </w:p>
    <w:p w14:paraId="12353E1A" w14:textId="7F6A691F" w:rsidR="007E5DF5" w:rsidRPr="0018436C" w:rsidRDefault="007E5DF5" w:rsidP="007E5DF5">
      <w:pPr>
        <w:jc w:val="both"/>
        <w:rPr>
          <w:b/>
          <w:bCs/>
        </w:rPr>
      </w:pPr>
      <w:r w:rsidRPr="0018436C">
        <w:rPr>
          <w:b/>
          <w:bCs/>
        </w:rPr>
        <w:lastRenderedPageBreak/>
        <w:t xml:space="preserve">Observation </w:t>
      </w:r>
      <w:r w:rsidR="0026279E">
        <w:rPr>
          <w:b/>
          <w:bCs/>
        </w:rPr>
        <w:t>4</w:t>
      </w:r>
      <w:r w:rsidRPr="0018436C">
        <w:rPr>
          <w:b/>
          <w:bCs/>
        </w:rPr>
        <w:t xml:space="preserve">: The SN can be released with either implicit or explicit configuration. The decision on which of the two approaches will be followed has impact in UE operation and MN interactions. </w:t>
      </w:r>
    </w:p>
    <w:p w14:paraId="1F9C34F4" w14:textId="7D3FC9C5" w:rsidR="007E5DF5" w:rsidRDefault="007E5DF5" w:rsidP="007E5DF5">
      <w:pPr>
        <w:jc w:val="both"/>
        <w:rPr>
          <w:b/>
          <w:bCs/>
        </w:rPr>
      </w:pPr>
      <w:r w:rsidRPr="0018436C">
        <w:rPr>
          <w:b/>
          <w:bCs/>
        </w:rPr>
        <w:t xml:space="preserve">Observation </w:t>
      </w:r>
      <w:r w:rsidR="0026279E">
        <w:rPr>
          <w:b/>
          <w:bCs/>
        </w:rPr>
        <w:t>5</w:t>
      </w:r>
      <w:r w:rsidRPr="0018436C">
        <w:rPr>
          <w:b/>
          <w:bCs/>
        </w:rPr>
        <w:t>: Option 1 with explicit configuration has limited standardization impact in terms of RRC and UE operation</w:t>
      </w:r>
      <w:r>
        <w:rPr>
          <w:b/>
          <w:bCs/>
        </w:rPr>
        <w:t>.</w:t>
      </w:r>
    </w:p>
    <w:p w14:paraId="3BE72BE2" w14:textId="77777777" w:rsidR="009339CB" w:rsidRPr="004F4540" w:rsidRDefault="009339CB" w:rsidP="009339CB">
      <w:pPr>
        <w:rPr>
          <w:bCs/>
        </w:rPr>
      </w:pPr>
      <w:r>
        <w:rPr>
          <w:bCs/>
        </w:rPr>
        <w:t>And proposed the following:</w:t>
      </w:r>
    </w:p>
    <w:p w14:paraId="325F3B8C" w14:textId="77777777" w:rsidR="00FD5560" w:rsidRDefault="00FD5560" w:rsidP="00FD5560">
      <w:pPr>
        <w:jc w:val="both"/>
        <w:rPr>
          <w:b/>
          <w:bCs/>
        </w:rPr>
      </w:pPr>
      <w:r>
        <w:rPr>
          <w:b/>
          <w:bCs/>
        </w:rPr>
        <w:t xml:space="preserve">Proposal 1: RAN2 to agree on Option 1 since it is similar to legacy and has lower standardization impact. </w:t>
      </w:r>
    </w:p>
    <w:p w14:paraId="0A7C25CE" w14:textId="77777777" w:rsidR="00FD5560" w:rsidRPr="0018436C" w:rsidRDefault="00FD5560" w:rsidP="00FD5560">
      <w:pPr>
        <w:jc w:val="both"/>
        <w:rPr>
          <w:b/>
          <w:bCs/>
        </w:rPr>
      </w:pPr>
      <w:r>
        <w:rPr>
          <w:b/>
          <w:bCs/>
        </w:rPr>
        <w:t xml:space="preserve">Proposal 2: RAN2 to inform RAN3 about the selected option and ask RAN3 to define the required signalling and MN/SN behaviours. </w:t>
      </w:r>
    </w:p>
    <w:p w14:paraId="4F71D7DB" w14:textId="7A324FC8" w:rsidR="007E5DF5" w:rsidRPr="006E13D1" w:rsidRDefault="007E5DF5" w:rsidP="007E5DF5">
      <w:pPr>
        <w:pStyle w:val="Heading1"/>
      </w:pPr>
      <w:r>
        <w:t>4</w:t>
      </w:r>
      <w:r w:rsidRPr="006E13D1">
        <w:tab/>
      </w:r>
      <w:r>
        <w:t>References</w:t>
      </w:r>
    </w:p>
    <w:p w14:paraId="428A51D3" w14:textId="48CBBACA" w:rsidR="007E5DF5" w:rsidRPr="005B1161" w:rsidRDefault="005B1161" w:rsidP="007E5DF5">
      <w:pPr>
        <w:jc w:val="both"/>
      </w:pPr>
      <w:r w:rsidRPr="005B1161">
        <w:t>[</w:t>
      </w:r>
      <w:r w:rsidR="0096020C">
        <w:t>1</w:t>
      </w:r>
      <w:r w:rsidRPr="005B1161">
        <w:t>]</w:t>
      </w:r>
      <w:r>
        <w:t xml:space="preserve"> </w:t>
      </w:r>
      <w:r w:rsidR="0096020C">
        <w:t xml:space="preserve">R2#123 Chairman Notes, </w:t>
      </w:r>
      <w:r w:rsidR="0096020C" w:rsidRPr="0096020C">
        <w:t>R2_123_ChairNotes_EOM</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6108" w14:textId="77777777" w:rsidR="00FA7CDD" w:rsidRDefault="00FA7CDD">
      <w:r>
        <w:separator/>
      </w:r>
    </w:p>
  </w:endnote>
  <w:endnote w:type="continuationSeparator" w:id="0">
    <w:p w14:paraId="2C6904A8" w14:textId="77777777" w:rsidR="00FA7CDD" w:rsidRDefault="00FA7CDD">
      <w:r>
        <w:continuationSeparator/>
      </w:r>
    </w:p>
  </w:endnote>
  <w:endnote w:type="continuationNotice" w:id="1">
    <w:p w14:paraId="7F0591C9" w14:textId="77777777" w:rsidR="00FA7CDD" w:rsidRDefault="00FA7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BF6FD" w14:textId="77777777" w:rsidR="00FA7CDD" w:rsidRDefault="00FA7CDD">
      <w:r>
        <w:separator/>
      </w:r>
    </w:p>
  </w:footnote>
  <w:footnote w:type="continuationSeparator" w:id="0">
    <w:p w14:paraId="0C941207" w14:textId="77777777" w:rsidR="00FA7CDD" w:rsidRDefault="00FA7CDD">
      <w:r>
        <w:continuationSeparator/>
      </w:r>
    </w:p>
  </w:footnote>
  <w:footnote w:type="continuationNotice" w:id="1">
    <w:p w14:paraId="18D65677" w14:textId="77777777" w:rsidR="00FA7CDD" w:rsidRDefault="00FA7C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B6D45"/>
    <w:multiLevelType w:val="multilevel"/>
    <w:tmpl w:val="9BCE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8906770"/>
    <w:multiLevelType w:val="hybridMultilevel"/>
    <w:tmpl w:val="0CD220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9069B6"/>
    <w:multiLevelType w:val="hybridMultilevel"/>
    <w:tmpl w:val="8124C81E"/>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FC39DE"/>
    <w:multiLevelType w:val="hybridMultilevel"/>
    <w:tmpl w:val="5540F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B41F4"/>
    <w:multiLevelType w:val="hybridMultilevel"/>
    <w:tmpl w:val="EC5AB812"/>
    <w:lvl w:ilvl="0" w:tplc="04070001">
      <w:start w:val="1"/>
      <w:numFmt w:val="bullet"/>
      <w:lvlText w:val=""/>
      <w:lvlJc w:val="left"/>
      <w:pPr>
        <w:ind w:left="1117" w:hanging="360"/>
      </w:pPr>
      <w:rPr>
        <w:rFonts w:ascii="Symbol" w:hAnsi="Symbol" w:hint="default"/>
      </w:rPr>
    </w:lvl>
    <w:lvl w:ilvl="1" w:tplc="04070003" w:tentative="1">
      <w:start w:val="1"/>
      <w:numFmt w:val="bullet"/>
      <w:lvlText w:val="o"/>
      <w:lvlJc w:val="left"/>
      <w:pPr>
        <w:ind w:left="1837" w:hanging="360"/>
      </w:pPr>
      <w:rPr>
        <w:rFonts w:ascii="Courier New" w:hAnsi="Courier New" w:cs="Courier New" w:hint="default"/>
      </w:rPr>
    </w:lvl>
    <w:lvl w:ilvl="2" w:tplc="04070005" w:tentative="1">
      <w:start w:val="1"/>
      <w:numFmt w:val="bullet"/>
      <w:lvlText w:val=""/>
      <w:lvlJc w:val="left"/>
      <w:pPr>
        <w:ind w:left="2557" w:hanging="360"/>
      </w:pPr>
      <w:rPr>
        <w:rFonts w:ascii="Wingdings" w:hAnsi="Wingdings" w:hint="default"/>
      </w:rPr>
    </w:lvl>
    <w:lvl w:ilvl="3" w:tplc="04070001" w:tentative="1">
      <w:start w:val="1"/>
      <w:numFmt w:val="bullet"/>
      <w:lvlText w:val=""/>
      <w:lvlJc w:val="left"/>
      <w:pPr>
        <w:ind w:left="3277" w:hanging="360"/>
      </w:pPr>
      <w:rPr>
        <w:rFonts w:ascii="Symbol" w:hAnsi="Symbol" w:hint="default"/>
      </w:rPr>
    </w:lvl>
    <w:lvl w:ilvl="4" w:tplc="04070003" w:tentative="1">
      <w:start w:val="1"/>
      <w:numFmt w:val="bullet"/>
      <w:lvlText w:val="o"/>
      <w:lvlJc w:val="left"/>
      <w:pPr>
        <w:ind w:left="3997" w:hanging="360"/>
      </w:pPr>
      <w:rPr>
        <w:rFonts w:ascii="Courier New" w:hAnsi="Courier New" w:cs="Courier New" w:hint="default"/>
      </w:rPr>
    </w:lvl>
    <w:lvl w:ilvl="5" w:tplc="04070005" w:tentative="1">
      <w:start w:val="1"/>
      <w:numFmt w:val="bullet"/>
      <w:lvlText w:val=""/>
      <w:lvlJc w:val="left"/>
      <w:pPr>
        <w:ind w:left="4717" w:hanging="360"/>
      </w:pPr>
      <w:rPr>
        <w:rFonts w:ascii="Wingdings" w:hAnsi="Wingdings" w:hint="default"/>
      </w:rPr>
    </w:lvl>
    <w:lvl w:ilvl="6" w:tplc="04070001" w:tentative="1">
      <w:start w:val="1"/>
      <w:numFmt w:val="bullet"/>
      <w:lvlText w:val=""/>
      <w:lvlJc w:val="left"/>
      <w:pPr>
        <w:ind w:left="5437" w:hanging="360"/>
      </w:pPr>
      <w:rPr>
        <w:rFonts w:ascii="Symbol" w:hAnsi="Symbol" w:hint="default"/>
      </w:rPr>
    </w:lvl>
    <w:lvl w:ilvl="7" w:tplc="04070003" w:tentative="1">
      <w:start w:val="1"/>
      <w:numFmt w:val="bullet"/>
      <w:lvlText w:val="o"/>
      <w:lvlJc w:val="left"/>
      <w:pPr>
        <w:ind w:left="6157" w:hanging="360"/>
      </w:pPr>
      <w:rPr>
        <w:rFonts w:ascii="Courier New" w:hAnsi="Courier New" w:cs="Courier New" w:hint="default"/>
      </w:rPr>
    </w:lvl>
    <w:lvl w:ilvl="8" w:tplc="04070005" w:tentative="1">
      <w:start w:val="1"/>
      <w:numFmt w:val="bullet"/>
      <w:lvlText w:val=""/>
      <w:lvlJc w:val="left"/>
      <w:pPr>
        <w:ind w:left="6877"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63ED54F8"/>
    <w:multiLevelType w:val="hybridMultilevel"/>
    <w:tmpl w:val="C93486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F776944"/>
    <w:multiLevelType w:val="multilevel"/>
    <w:tmpl w:val="6228F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146DC0"/>
    <w:multiLevelType w:val="hybridMultilevel"/>
    <w:tmpl w:val="D6D8A82E"/>
    <w:lvl w:ilvl="0" w:tplc="FFFFFFFF">
      <w:start w:val="1"/>
      <w:numFmt w:val="bullet"/>
      <w:pStyle w:val="Agreement"/>
      <w:lvlText w:val=""/>
      <w:lvlJc w:val="left"/>
      <w:pPr>
        <w:tabs>
          <w:tab w:val="num" w:pos="5039"/>
        </w:tabs>
        <w:ind w:left="503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9D6546"/>
    <w:multiLevelType w:val="hybridMultilevel"/>
    <w:tmpl w:val="018A65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4361FDC"/>
    <w:multiLevelType w:val="hybridMultilevel"/>
    <w:tmpl w:val="E6BA08AC"/>
    <w:lvl w:ilvl="0" w:tplc="04070001">
      <w:start w:val="1"/>
      <w:numFmt w:val="bullet"/>
      <w:lvlText w:val=""/>
      <w:lvlJc w:val="left"/>
      <w:pPr>
        <w:ind w:left="1117" w:hanging="360"/>
      </w:pPr>
      <w:rPr>
        <w:rFonts w:ascii="Symbol" w:hAnsi="Symbol" w:hint="default"/>
      </w:rPr>
    </w:lvl>
    <w:lvl w:ilvl="1" w:tplc="04070003" w:tentative="1">
      <w:start w:val="1"/>
      <w:numFmt w:val="bullet"/>
      <w:lvlText w:val="o"/>
      <w:lvlJc w:val="left"/>
      <w:pPr>
        <w:ind w:left="1837" w:hanging="360"/>
      </w:pPr>
      <w:rPr>
        <w:rFonts w:ascii="Courier New" w:hAnsi="Courier New" w:cs="Courier New" w:hint="default"/>
      </w:rPr>
    </w:lvl>
    <w:lvl w:ilvl="2" w:tplc="04070005" w:tentative="1">
      <w:start w:val="1"/>
      <w:numFmt w:val="bullet"/>
      <w:lvlText w:val=""/>
      <w:lvlJc w:val="left"/>
      <w:pPr>
        <w:ind w:left="2557" w:hanging="360"/>
      </w:pPr>
      <w:rPr>
        <w:rFonts w:ascii="Wingdings" w:hAnsi="Wingdings" w:hint="default"/>
      </w:rPr>
    </w:lvl>
    <w:lvl w:ilvl="3" w:tplc="04070001" w:tentative="1">
      <w:start w:val="1"/>
      <w:numFmt w:val="bullet"/>
      <w:lvlText w:val=""/>
      <w:lvlJc w:val="left"/>
      <w:pPr>
        <w:ind w:left="3277" w:hanging="360"/>
      </w:pPr>
      <w:rPr>
        <w:rFonts w:ascii="Symbol" w:hAnsi="Symbol" w:hint="default"/>
      </w:rPr>
    </w:lvl>
    <w:lvl w:ilvl="4" w:tplc="04070003" w:tentative="1">
      <w:start w:val="1"/>
      <w:numFmt w:val="bullet"/>
      <w:lvlText w:val="o"/>
      <w:lvlJc w:val="left"/>
      <w:pPr>
        <w:ind w:left="3997" w:hanging="360"/>
      </w:pPr>
      <w:rPr>
        <w:rFonts w:ascii="Courier New" w:hAnsi="Courier New" w:cs="Courier New" w:hint="default"/>
      </w:rPr>
    </w:lvl>
    <w:lvl w:ilvl="5" w:tplc="04070005" w:tentative="1">
      <w:start w:val="1"/>
      <w:numFmt w:val="bullet"/>
      <w:lvlText w:val=""/>
      <w:lvlJc w:val="left"/>
      <w:pPr>
        <w:ind w:left="4717" w:hanging="360"/>
      </w:pPr>
      <w:rPr>
        <w:rFonts w:ascii="Wingdings" w:hAnsi="Wingdings" w:hint="default"/>
      </w:rPr>
    </w:lvl>
    <w:lvl w:ilvl="6" w:tplc="04070001" w:tentative="1">
      <w:start w:val="1"/>
      <w:numFmt w:val="bullet"/>
      <w:lvlText w:val=""/>
      <w:lvlJc w:val="left"/>
      <w:pPr>
        <w:ind w:left="5437" w:hanging="360"/>
      </w:pPr>
      <w:rPr>
        <w:rFonts w:ascii="Symbol" w:hAnsi="Symbol" w:hint="default"/>
      </w:rPr>
    </w:lvl>
    <w:lvl w:ilvl="7" w:tplc="04070003" w:tentative="1">
      <w:start w:val="1"/>
      <w:numFmt w:val="bullet"/>
      <w:lvlText w:val="o"/>
      <w:lvlJc w:val="left"/>
      <w:pPr>
        <w:ind w:left="6157" w:hanging="360"/>
      </w:pPr>
      <w:rPr>
        <w:rFonts w:ascii="Courier New" w:hAnsi="Courier New" w:cs="Courier New" w:hint="default"/>
      </w:rPr>
    </w:lvl>
    <w:lvl w:ilvl="8" w:tplc="04070005" w:tentative="1">
      <w:start w:val="1"/>
      <w:numFmt w:val="bullet"/>
      <w:lvlText w:val=""/>
      <w:lvlJc w:val="left"/>
      <w:pPr>
        <w:ind w:left="6877" w:hanging="360"/>
      </w:pPr>
      <w:rPr>
        <w:rFonts w:ascii="Wingdings" w:hAnsi="Wingdings" w:hint="default"/>
      </w:rPr>
    </w:lvl>
  </w:abstractNum>
  <w:num w:numId="1" w16cid:durableId="10095965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85258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6403464">
    <w:abstractNumId w:val="2"/>
  </w:num>
  <w:num w:numId="4" w16cid:durableId="781921741">
    <w:abstractNumId w:val="7"/>
  </w:num>
  <w:num w:numId="5" w16cid:durableId="1265110314">
    <w:abstractNumId w:val="6"/>
  </w:num>
  <w:num w:numId="6" w16cid:durableId="2142994279">
    <w:abstractNumId w:val="10"/>
  </w:num>
  <w:num w:numId="7" w16cid:durableId="1943343167">
    <w:abstractNumId w:val="11"/>
  </w:num>
  <w:num w:numId="8" w16cid:durableId="1449396441">
    <w:abstractNumId w:val="1"/>
  </w:num>
  <w:num w:numId="9" w16cid:durableId="959259340">
    <w:abstractNumId w:val="13"/>
  </w:num>
  <w:num w:numId="10" w16cid:durableId="897403278">
    <w:abstractNumId w:val="14"/>
  </w:num>
  <w:num w:numId="11" w16cid:durableId="1512794226">
    <w:abstractNumId w:val="15"/>
  </w:num>
  <w:num w:numId="12" w16cid:durableId="682128719">
    <w:abstractNumId w:val="3"/>
  </w:num>
  <w:num w:numId="13" w16cid:durableId="2022931180">
    <w:abstractNumId w:val="16"/>
  </w:num>
  <w:num w:numId="14" w16cid:durableId="2047169275">
    <w:abstractNumId w:val="9"/>
  </w:num>
  <w:num w:numId="15" w16cid:durableId="763578256">
    <w:abstractNumId w:val="5"/>
  </w:num>
  <w:num w:numId="16" w16cid:durableId="1406345151">
    <w:abstractNumId w:val="12"/>
  </w:num>
  <w:num w:numId="17" w16cid:durableId="1965647086">
    <w:abstractNumId w:val="8"/>
  </w:num>
  <w:num w:numId="18" w16cid:durableId="1526165130">
    <w:abstractNumId w:val="4"/>
  </w:num>
  <w:num w:numId="19" w16cid:durableId="13576606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451715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A1082"/>
    <w:rsid w:val="000A6192"/>
    <w:rsid w:val="000B7277"/>
    <w:rsid w:val="000B7BCF"/>
    <w:rsid w:val="000C522B"/>
    <w:rsid w:val="000D58AB"/>
    <w:rsid w:val="00102157"/>
    <w:rsid w:val="00112764"/>
    <w:rsid w:val="00112F1A"/>
    <w:rsid w:val="001249CF"/>
    <w:rsid w:val="00145075"/>
    <w:rsid w:val="0014704D"/>
    <w:rsid w:val="00166EB8"/>
    <w:rsid w:val="001741A0"/>
    <w:rsid w:val="00175FA0"/>
    <w:rsid w:val="0018436C"/>
    <w:rsid w:val="0018542A"/>
    <w:rsid w:val="00191CD9"/>
    <w:rsid w:val="00194CD0"/>
    <w:rsid w:val="001B0EB3"/>
    <w:rsid w:val="001B49C9"/>
    <w:rsid w:val="001C23F4"/>
    <w:rsid w:val="001C4F79"/>
    <w:rsid w:val="001C7011"/>
    <w:rsid w:val="001F168B"/>
    <w:rsid w:val="001F7831"/>
    <w:rsid w:val="00204045"/>
    <w:rsid w:val="0020712B"/>
    <w:rsid w:val="00211552"/>
    <w:rsid w:val="002203B6"/>
    <w:rsid w:val="0022606D"/>
    <w:rsid w:val="00231728"/>
    <w:rsid w:val="00241D36"/>
    <w:rsid w:val="00244A05"/>
    <w:rsid w:val="00250404"/>
    <w:rsid w:val="00256B74"/>
    <w:rsid w:val="002610D8"/>
    <w:rsid w:val="00261C04"/>
    <w:rsid w:val="0026279E"/>
    <w:rsid w:val="00273AE1"/>
    <w:rsid w:val="002747EC"/>
    <w:rsid w:val="00275804"/>
    <w:rsid w:val="002855BF"/>
    <w:rsid w:val="002A613E"/>
    <w:rsid w:val="002A632F"/>
    <w:rsid w:val="002B2988"/>
    <w:rsid w:val="002F0D22"/>
    <w:rsid w:val="0030408E"/>
    <w:rsid w:val="00311B17"/>
    <w:rsid w:val="003172DC"/>
    <w:rsid w:val="00325AE3"/>
    <w:rsid w:val="00326069"/>
    <w:rsid w:val="0034025E"/>
    <w:rsid w:val="003414A4"/>
    <w:rsid w:val="0035167A"/>
    <w:rsid w:val="0035462D"/>
    <w:rsid w:val="0036459E"/>
    <w:rsid w:val="00364B41"/>
    <w:rsid w:val="00383096"/>
    <w:rsid w:val="00384673"/>
    <w:rsid w:val="003875D9"/>
    <w:rsid w:val="0039346C"/>
    <w:rsid w:val="003A41EF"/>
    <w:rsid w:val="003A7FE7"/>
    <w:rsid w:val="003B40AD"/>
    <w:rsid w:val="003C4E37"/>
    <w:rsid w:val="003D0FD0"/>
    <w:rsid w:val="003D3A39"/>
    <w:rsid w:val="003E16BE"/>
    <w:rsid w:val="003F4E28"/>
    <w:rsid w:val="004006E8"/>
    <w:rsid w:val="00401855"/>
    <w:rsid w:val="00427446"/>
    <w:rsid w:val="004458C0"/>
    <w:rsid w:val="00446C3A"/>
    <w:rsid w:val="00465587"/>
    <w:rsid w:val="00477455"/>
    <w:rsid w:val="004A1F7B"/>
    <w:rsid w:val="004A7A6C"/>
    <w:rsid w:val="004C44D2"/>
    <w:rsid w:val="004D20BF"/>
    <w:rsid w:val="004D3578"/>
    <w:rsid w:val="004D380D"/>
    <w:rsid w:val="004E213A"/>
    <w:rsid w:val="004E7553"/>
    <w:rsid w:val="004F4540"/>
    <w:rsid w:val="004F73A7"/>
    <w:rsid w:val="00503171"/>
    <w:rsid w:val="00506C28"/>
    <w:rsid w:val="0051278F"/>
    <w:rsid w:val="00517914"/>
    <w:rsid w:val="00531A09"/>
    <w:rsid w:val="00534DA0"/>
    <w:rsid w:val="00537809"/>
    <w:rsid w:val="00543E6C"/>
    <w:rsid w:val="00545496"/>
    <w:rsid w:val="00560E56"/>
    <w:rsid w:val="00565087"/>
    <w:rsid w:val="0056573F"/>
    <w:rsid w:val="0056719F"/>
    <w:rsid w:val="00571279"/>
    <w:rsid w:val="005A13AB"/>
    <w:rsid w:val="005A49C6"/>
    <w:rsid w:val="005B1161"/>
    <w:rsid w:val="005B6C7F"/>
    <w:rsid w:val="005C766E"/>
    <w:rsid w:val="005C7CD5"/>
    <w:rsid w:val="00611566"/>
    <w:rsid w:val="00634163"/>
    <w:rsid w:val="00646D99"/>
    <w:rsid w:val="00655C22"/>
    <w:rsid w:val="00656910"/>
    <w:rsid w:val="006574C0"/>
    <w:rsid w:val="006662CB"/>
    <w:rsid w:val="00666BEA"/>
    <w:rsid w:val="00696821"/>
    <w:rsid w:val="006B01E1"/>
    <w:rsid w:val="006C66D8"/>
    <w:rsid w:val="006D1E24"/>
    <w:rsid w:val="006D35DE"/>
    <w:rsid w:val="006E1057"/>
    <w:rsid w:val="006E1417"/>
    <w:rsid w:val="006F6A2C"/>
    <w:rsid w:val="00700518"/>
    <w:rsid w:val="00700689"/>
    <w:rsid w:val="00703D52"/>
    <w:rsid w:val="007069DC"/>
    <w:rsid w:val="00710201"/>
    <w:rsid w:val="0072073A"/>
    <w:rsid w:val="007342B5"/>
    <w:rsid w:val="00734A5B"/>
    <w:rsid w:val="00740F5B"/>
    <w:rsid w:val="0074115B"/>
    <w:rsid w:val="00744E76"/>
    <w:rsid w:val="00757D40"/>
    <w:rsid w:val="007662B5"/>
    <w:rsid w:val="00781F0F"/>
    <w:rsid w:val="007839BF"/>
    <w:rsid w:val="0078727C"/>
    <w:rsid w:val="0079049D"/>
    <w:rsid w:val="00793DC5"/>
    <w:rsid w:val="00796823"/>
    <w:rsid w:val="007A2E55"/>
    <w:rsid w:val="007B18D8"/>
    <w:rsid w:val="007C095F"/>
    <w:rsid w:val="007C27E9"/>
    <w:rsid w:val="007C2DD0"/>
    <w:rsid w:val="007C6C99"/>
    <w:rsid w:val="007D29A2"/>
    <w:rsid w:val="007D3BAC"/>
    <w:rsid w:val="007E582F"/>
    <w:rsid w:val="007E5BDD"/>
    <w:rsid w:val="007E5DF5"/>
    <w:rsid w:val="007F1779"/>
    <w:rsid w:val="007F2E08"/>
    <w:rsid w:val="008024FA"/>
    <w:rsid w:val="008028A4"/>
    <w:rsid w:val="00813245"/>
    <w:rsid w:val="00821923"/>
    <w:rsid w:val="00840DE0"/>
    <w:rsid w:val="00847CD0"/>
    <w:rsid w:val="008607A8"/>
    <w:rsid w:val="0086354A"/>
    <w:rsid w:val="008768CA"/>
    <w:rsid w:val="00877EF9"/>
    <w:rsid w:val="00880559"/>
    <w:rsid w:val="00893394"/>
    <w:rsid w:val="008A0263"/>
    <w:rsid w:val="008A50AA"/>
    <w:rsid w:val="008B5306"/>
    <w:rsid w:val="008B54E8"/>
    <w:rsid w:val="008C2E2A"/>
    <w:rsid w:val="008C3057"/>
    <w:rsid w:val="008C65C4"/>
    <w:rsid w:val="008D0150"/>
    <w:rsid w:val="008D2E4D"/>
    <w:rsid w:val="008F396F"/>
    <w:rsid w:val="008F3DCD"/>
    <w:rsid w:val="0090271F"/>
    <w:rsid w:val="00902DB9"/>
    <w:rsid w:val="0090466A"/>
    <w:rsid w:val="00905E5A"/>
    <w:rsid w:val="00923655"/>
    <w:rsid w:val="009245CA"/>
    <w:rsid w:val="009248C6"/>
    <w:rsid w:val="00925938"/>
    <w:rsid w:val="009339CB"/>
    <w:rsid w:val="00936071"/>
    <w:rsid w:val="009376CD"/>
    <w:rsid w:val="00940212"/>
    <w:rsid w:val="00942EC2"/>
    <w:rsid w:val="00944510"/>
    <w:rsid w:val="0096020C"/>
    <w:rsid w:val="00961B32"/>
    <w:rsid w:val="00962509"/>
    <w:rsid w:val="00966131"/>
    <w:rsid w:val="00970DB3"/>
    <w:rsid w:val="00974BB0"/>
    <w:rsid w:val="00975BCD"/>
    <w:rsid w:val="009818A2"/>
    <w:rsid w:val="009857F4"/>
    <w:rsid w:val="009928A9"/>
    <w:rsid w:val="009A0AF3"/>
    <w:rsid w:val="009B07CD"/>
    <w:rsid w:val="009C19E9"/>
    <w:rsid w:val="009C4C42"/>
    <w:rsid w:val="009D74A6"/>
    <w:rsid w:val="009E0E87"/>
    <w:rsid w:val="009F1D51"/>
    <w:rsid w:val="00A10F02"/>
    <w:rsid w:val="00A17176"/>
    <w:rsid w:val="00A17861"/>
    <w:rsid w:val="00A204CA"/>
    <w:rsid w:val="00A209D6"/>
    <w:rsid w:val="00A22738"/>
    <w:rsid w:val="00A36F5F"/>
    <w:rsid w:val="00A430EC"/>
    <w:rsid w:val="00A53724"/>
    <w:rsid w:val="00A54B2B"/>
    <w:rsid w:val="00A703B6"/>
    <w:rsid w:val="00A82346"/>
    <w:rsid w:val="00A833FC"/>
    <w:rsid w:val="00A87AD1"/>
    <w:rsid w:val="00A9671C"/>
    <w:rsid w:val="00AA0F2D"/>
    <w:rsid w:val="00AA1553"/>
    <w:rsid w:val="00AD2E5E"/>
    <w:rsid w:val="00AD626E"/>
    <w:rsid w:val="00AD7E7C"/>
    <w:rsid w:val="00AE1102"/>
    <w:rsid w:val="00B05380"/>
    <w:rsid w:val="00B05962"/>
    <w:rsid w:val="00B15449"/>
    <w:rsid w:val="00B16C2F"/>
    <w:rsid w:val="00B23B2C"/>
    <w:rsid w:val="00B26BC8"/>
    <w:rsid w:val="00B27303"/>
    <w:rsid w:val="00B4751D"/>
    <w:rsid w:val="00B47FD1"/>
    <w:rsid w:val="00B516BB"/>
    <w:rsid w:val="00B607A2"/>
    <w:rsid w:val="00B71AF1"/>
    <w:rsid w:val="00B7538C"/>
    <w:rsid w:val="00B75A43"/>
    <w:rsid w:val="00B84DB2"/>
    <w:rsid w:val="00B956E4"/>
    <w:rsid w:val="00BC3555"/>
    <w:rsid w:val="00C12B51"/>
    <w:rsid w:val="00C24650"/>
    <w:rsid w:val="00C25465"/>
    <w:rsid w:val="00C33079"/>
    <w:rsid w:val="00C55A12"/>
    <w:rsid w:val="00C6553E"/>
    <w:rsid w:val="00C67FB5"/>
    <w:rsid w:val="00C75479"/>
    <w:rsid w:val="00C83A13"/>
    <w:rsid w:val="00C86F10"/>
    <w:rsid w:val="00C9068C"/>
    <w:rsid w:val="00C9234E"/>
    <w:rsid w:val="00C9251D"/>
    <w:rsid w:val="00C92967"/>
    <w:rsid w:val="00CA3D0C"/>
    <w:rsid w:val="00CA654B"/>
    <w:rsid w:val="00CB72B8"/>
    <w:rsid w:val="00CD0BA8"/>
    <w:rsid w:val="00CD3CC7"/>
    <w:rsid w:val="00CD4C7B"/>
    <w:rsid w:val="00CD58FE"/>
    <w:rsid w:val="00D24C2E"/>
    <w:rsid w:val="00D33BE3"/>
    <w:rsid w:val="00D36341"/>
    <w:rsid w:val="00D3792D"/>
    <w:rsid w:val="00D54820"/>
    <w:rsid w:val="00D55E47"/>
    <w:rsid w:val="00D62E19"/>
    <w:rsid w:val="00D67CD1"/>
    <w:rsid w:val="00D738D6"/>
    <w:rsid w:val="00D80795"/>
    <w:rsid w:val="00D854BE"/>
    <w:rsid w:val="00D87E00"/>
    <w:rsid w:val="00D9134D"/>
    <w:rsid w:val="00D94688"/>
    <w:rsid w:val="00D96D11"/>
    <w:rsid w:val="00DA7A03"/>
    <w:rsid w:val="00DB0DB8"/>
    <w:rsid w:val="00DB1818"/>
    <w:rsid w:val="00DC309B"/>
    <w:rsid w:val="00DC4DA2"/>
    <w:rsid w:val="00DC5261"/>
    <w:rsid w:val="00DC5452"/>
    <w:rsid w:val="00DD6129"/>
    <w:rsid w:val="00DE25D2"/>
    <w:rsid w:val="00DF7C20"/>
    <w:rsid w:val="00E038FB"/>
    <w:rsid w:val="00E33461"/>
    <w:rsid w:val="00E3386A"/>
    <w:rsid w:val="00E46C08"/>
    <w:rsid w:val="00E471CF"/>
    <w:rsid w:val="00E62835"/>
    <w:rsid w:val="00E6480E"/>
    <w:rsid w:val="00E767DC"/>
    <w:rsid w:val="00E77198"/>
    <w:rsid w:val="00E77645"/>
    <w:rsid w:val="00E83697"/>
    <w:rsid w:val="00E859B6"/>
    <w:rsid w:val="00EA66C9"/>
    <w:rsid w:val="00EB2348"/>
    <w:rsid w:val="00EB3530"/>
    <w:rsid w:val="00EB52DE"/>
    <w:rsid w:val="00EB5D32"/>
    <w:rsid w:val="00EC4A25"/>
    <w:rsid w:val="00ED7039"/>
    <w:rsid w:val="00EF25C6"/>
    <w:rsid w:val="00EF612C"/>
    <w:rsid w:val="00F025A2"/>
    <w:rsid w:val="00F036E9"/>
    <w:rsid w:val="00F07388"/>
    <w:rsid w:val="00F11522"/>
    <w:rsid w:val="00F2026E"/>
    <w:rsid w:val="00F2210A"/>
    <w:rsid w:val="00F31372"/>
    <w:rsid w:val="00F37743"/>
    <w:rsid w:val="00F40112"/>
    <w:rsid w:val="00F5456F"/>
    <w:rsid w:val="00F54A3D"/>
    <w:rsid w:val="00F54CB0"/>
    <w:rsid w:val="00F579CD"/>
    <w:rsid w:val="00F653B8"/>
    <w:rsid w:val="00F71B89"/>
    <w:rsid w:val="00F7353C"/>
    <w:rsid w:val="00F76089"/>
    <w:rsid w:val="00F76F8F"/>
    <w:rsid w:val="00F80BF7"/>
    <w:rsid w:val="00F87257"/>
    <w:rsid w:val="00F941DF"/>
    <w:rsid w:val="00F96404"/>
    <w:rsid w:val="00FA1266"/>
    <w:rsid w:val="00FA7CDD"/>
    <w:rsid w:val="00FB36FA"/>
    <w:rsid w:val="00FC1192"/>
    <w:rsid w:val="00FC5803"/>
    <w:rsid w:val="00FD5477"/>
    <w:rsid w:val="00FD5560"/>
    <w:rsid w:val="00FE0FEF"/>
    <w:rsid w:val="00FE1021"/>
    <w:rsid w:val="00FE106D"/>
    <w:rsid w:val="00FE251B"/>
    <w:rsid w:val="011CC4A7"/>
    <w:rsid w:val="01F2F9D1"/>
    <w:rsid w:val="08BA1000"/>
    <w:rsid w:val="0EA877A9"/>
    <w:rsid w:val="1358D1AF"/>
    <w:rsid w:val="18EAF6F8"/>
    <w:rsid w:val="1EFFD9D1"/>
    <w:rsid w:val="23832E3E"/>
    <w:rsid w:val="2A839F7A"/>
    <w:rsid w:val="2F409D3D"/>
    <w:rsid w:val="4FE03C66"/>
    <w:rsid w:val="50E95BBF"/>
    <w:rsid w:val="55F6754B"/>
    <w:rsid w:val="61BD9919"/>
    <w:rsid w:val="683AC54B"/>
    <w:rsid w:val="715A10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1E98A49-4D9A-4F73-AE54-ECD4F8C7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191C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91CD9"/>
    <w:pPr>
      <w:spacing w:before="100" w:beforeAutospacing="1" w:after="100" w:afterAutospacing="1"/>
    </w:pPr>
    <w:rPr>
      <w:sz w:val="24"/>
      <w:szCs w:val="24"/>
      <w:lang w:val="de-DE" w:eastAsia="de-DE"/>
    </w:rPr>
  </w:style>
  <w:style w:type="character" w:customStyle="1" w:styleId="normaltextrun">
    <w:name w:val="normaltextrun"/>
    <w:basedOn w:val="DefaultParagraphFont"/>
    <w:rsid w:val="00191CD9"/>
  </w:style>
  <w:style w:type="character" w:customStyle="1" w:styleId="eop">
    <w:name w:val="eop"/>
    <w:basedOn w:val="DefaultParagraphFont"/>
    <w:rsid w:val="00191CD9"/>
  </w:style>
  <w:style w:type="character" w:customStyle="1" w:styleId="scxw57250226">
    <w:name w:val="scxw57250226"/>
    <w:basedOn w:val="DefaultParagraphFont"/>
    <w:rsid w:val="00191CD9"/>
  </w:style>
  <w:style w:type="paragraph" w:customStyle="1" w:styleId="Agreement">
    <w:name w:val="Agreement"/>
    <w:basedOn w:val="Normal"/>
    <w:next w:val="Normal"/>
    <w:uiPriority w:val="99"/>
    <w:qFormat/>
    <w:rsid w:val="00191CD9"/>
    <w:pPr>
      <w:numPr>
        <w:numId w:val="10"/>
      </w:numPr>
      <w:spacing w:before="60" w:after="0"/>
    </w:pPr>
    <w:rPr>
      <w:rFonts w:ascii="Arial" w:eastAsia="MS Mincho" w:hAnsi="Arial"/>
      <w:b/>
      <w:szCs w:val="24"/>
      <w:lang w:eastAsia="en-GB"/>
    </w:rPr>
  </w:style>
  <w:style w:type="paragraph" w:styleId="Caption">
    <w:name w:val="caption"/>
    <w:basedOn w:val="Normal"/>
    <w:next w:val="Normal"/>
    <w:uiPriority w:val="35"/>
    <w:unhideWhenUsed/>
    <w:qFormat/>
    <w:rsid w:val="00925938"/>
    <w:pPr>
      <w:spacing w:after="240"/>
    </w:pPr>
    <w:rPr>
      <w:rFonts w:ascii="Arial" w:eastAsiaTheme="minorHAnsi" w:hAnsi="Arial" w:cs="Arial"/>
      <w:iCs/>
      <w:sz w:val="22"/>
      <w:szCs w:val="18"/>
      <w:lang w:val="en-US"/>
    </w:rPr>
  </w:style>
  <w:style w:type="character" w:customStyle="1" w:styleId="B1Zchn">
    <w:name w:val="B1 Zchn"/>
    <w:link w:val="B1"/>
    <w:qFormat/>
    <w:locked/>
    <w:rsid w:val="00427446"/>
    <w:rPr>
      <w:lang w:eastAsia="en-US"/>
    </w:rPr>
  </w:style>
  <w:style w:type="character" w:customStyle="1" w:styleId="B2Char">
    <w:name w:val="B2 Char"/>
    <w:basedOn w:val="DefaultParagraphFont"/>
    <w:link w:val="B2"/>
    <w:qFormat/>
    <w:locked/>
    <w:rsid w:val="00427446"/>
    <w:rPr>
      <w:lang w:eastAsia="en-US"/>
    </w:rPr>
  </w:style>
  <w:style w:type="character" w:customStyle="1" w:styleId="B3Char2">
    <w:name w:val="B3 Char2"/>
    <w:basedOn w:val="DefaultParagraphFont"/>
    <w:link w:val="B3"/>
    <w:qFormat/>
    <w:locked/>
    <w:rsid w:val="00427446"/>
    <w:rPr>
      <w:lang w:eastAsia="en-US"/>
    </w:rPr>
  </w:style>
  <w:style w:type="character" w:customStyle="1" w:styleId="B4Char">
    <w:name w:val="B4 Char"/>
    <w:basedOn w:val="DefaultParagraphFont"/>
    <w:link w:val="B4"/>
    <w:qFormat/>
    <w:locked/>
    <w:rsid w:val="00427446"/>
    <w:rPr>
      <w:lang w:eastAsia="en-US"/>
    </w:rPr>
  </w:style>
  <w:style w:type="paragraph" w:styleId="ListParagraph">
    <w:name w:val="List Paragraph"/>
    <w:aliases w:val="Bullets,列出段落,- Bullets,?? ??,?????,????,リスト段落,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427446"/>
    <w:pPr>
      <w:numPr>
        <w:numId w:val="12"/>
      </w:numPr>
      <w:shd w:val="clear" w:color="auto" w:fill="FFFFFF"/>
      <w:spacing w:after="120"/>
      <w:contextualSpacing/>
    </w:pPr>
    <w:rPr>
      <w:rFonts w:ascii="Arial" w:eastAsiaTheme="minorHAnsi" w:hAnsi="Arial" w:cs="Arial"/>
      <w:sz w:val="22"/>
      <w:lang w:val="en-US"/>
    </w:rPr>
  </w:style>
  <w:style w:type="character" w:customStyle="1" w:styleId="ListParagraphChar">
    <w:name w:val="List Paragraph Char"/>
    <w:aliases w:val="Bullets Char,列出段落 Char,- Bullets Char,?? ?? Char,????? Char,???? Char,リスト段落 Char,Lista1 Char,列出段落1 Char,中等深浅网格 1 - 着色 21 Char,R4_bullets Char,列表段落1 Char,—ño’i—Ž Char,¥¡¡¡¡ì¬º¥¹¥È¶ÎÂä Char,ÁÐ³ö¶ÎÂä Char,¥ê¥¹¥È¶ÎÂä Char,列表段落11 Char"/>
    <w:link w:val="ListParagraph"/>
    <w:uiPriority w:val="34"/>
    <w:qFormat/>
    <w:locked/>
    <w:rsid w:val="00427446"/>
    <w:rPr>
      <w:rFonts w:ascii="Arial" w:eastAsiaTheme="minorHAnsi" w:hAnsi="Arial" w:cs="Arial"/>
      <w:sz w:val="22"/>
      <w:shd w:val="clear" w:color="auto" w:fill="FFFFFF"/>
      <w:lang w:val="en-US" w:eastAsia="en-US"/>
    </w:rPr>
  </w:style>
  <w:style w:type="character" w:styleId="CommentReference">
    <w:name w:val="annotation reference"/>
    <w:basedOn w:val="DefaultParagraphFont"/>
    <w:rsid w:val="004A7A6C"/>
    <w:rPr>
      <w:sz w:val="16"/>
      <w:szCs w:val="16"/>
    </w:rPr>
  </w:style>
  <w:style w:type="paragraph" w:styleId="CommentText">
    <w:name w:val="annotation text"/>
    <w:basedOn w:val="Normal"/>
    <w:link w:val="CommentTextChar"/>
    <w:rsid w:val="004A7A6C"/>
  </w:style>
  <w:style w:type="character" w:customStyle="1" w:styleId="CommentTextChar">
    <w:name w:val="Comment Text Char"/>
    <w:basedOn w:val="DefaultParagraphFont"/>
    <w:link w:val="CommentText"/>
    <w:rsid w:val="004A7A6C"/>
    <w:rPr>
      <w:lang w:eastAsia="en-US"/>
    </w:rPr>
  </w:style>
  <w:style w:type="paragraph" w:styleId="CommentSubject">
    <w:name w:val="annotation subject"/>
    <w:basedOn w:val="CommentText"/>
    <w:next w:val="CommentText"/>
    <w:link w:val="CommentSubjectChar"/>
    <w:rsid w:val="004A7A6C"/>
    <w:rPr>
      <w:b/>
      <w:bCs/>
    </w:rPr>
  </w:style>
  <w:style w:type="character" w:customStyle="1" w:styleId="CommentSubjectChar">
    <w:name w:val="Comment Subject Char"/>
    <w:basedOn w:val="CommentTextChar"/>
    <w:link w:val="CommentSubject"/>
    <w:rsid w:val="004A7A6C"/>
    <w:rPr>
      <w:b/>
      <w:bCs/>
      <w:lang w:eastAsia="en-US"/>
    </w:rPr>
  </w:style>
  <w:style w:type="paragraph" w:styleId="Revision">
    <w:name w:val="Revision"/>
    <w:hidden/>
    <w:uiPriority w:val="99"/>
    <w:semiHidden/>
    <w:rsid w:val="00FE1021"/>
    <w:rPr>
      <w:lang w:eastAsia="en-US"/>
    </w:rPr>
  </w:style>
  <w:style w:type="character" w:styleId="Mention">
    <w:name w:val="Mention"/>
    <w:basedOn w:val="DefaultParagraphFont"/>
    <w:uiPriority w:val="99"/>
    <w:unhideWhenUsed/>
    <w:rsid w:val="00B75A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06614">
      <w:bodyDiv w:val="1"/>
      <w:marLeft w:val="0"/>
      <w:marRight w:val="0"/>
      <w:marTop w:val="0"/>
      <w:marBottom w:val="0"/>
      <w:divBdr>
        <w:top w:val="none" w:sz="0" w:space="0" w:color="auto"/>
        <w:left w:val="none" w:sz="0" w:space="0" w:color="auto"/>
        <w:bottom w:val="none" w:sz="0" w:space="0" w:color="auto"/>
        <w:right w:val="none" w:sz="0" w:space="0" w:color="auto"/>
      </w:divBdr>
      <w:divsChild>
        <w:div w:id="1209224917">
          <w:marLeft w:val="0"/>
          <w:marRight w:val="0"/>
          <w:marTop w:val="0"/>
          <w:marBottom w:val="0"/>
          <w:divBdr>
            <w:top w:val="none" w:sz="0" w:space="0" w:color="auto"/>
            <w:left w:val="none" w:sz="0" w:space="0" w:color="auto"/>
            <w:bottom w:val="none" w:sz="0" w:space="0" w:color="auto"/>
            <w:right w:val="none" w:sz="0" w:space="0" w:color="auto"/>
          </w:divBdr>
          <w:divsChild>
            <w:div w:id="256527307">
              <w:marLeft w:val="0"/>
              <w:marRight w:val="0"/>
              <w:marTop w:val="0"/>
              <w:marBottom w:val="0"/>
              <w:divBdr>
                <w:top w:val="none" w:sz="0" w:space="0" w:color="auto"/>
                <w:left w:val="none" w:sz="0" w:space="0" w:color="auto"/>
                <w:bottom w:val="none" w:sz="0" w:space="0" w:color="auto"/>
                <w:right w:val="none" w:sz="0" w:space="0" w:color="auto"/>
              </w:divBdr>
            </w:div>
            <w:div w:id="589437632">
              <w:marLeft w:val="0"/>
              <w:marRight w:val="0"/>
              <w:marTop w:val="0"/>
              <w:marBottom w:val="0"/>
              <w:divBdr>
                <w:top w:val="none" w:sz="0" w:space="0" w:color="auto"/>
                <w:left w:val="none" w:sz="0" w:space="0" w:color="auto"/>
                <w:bottom w:val="none" w:sz="0" w:space="0" w:color="auto"/>
                <w:right w:val="none" w:sz="0" w:space="0" w:color="auto"/>
              </w:divBdr>
            </w:div>
            <w:div w:id="679313166">
              <w:marLeft w:val="0"/>
              <w:marRight w:val="0"/>
              <w:marTop w:val="0"/>
              <w:marBottom w:val="0"/>
              <w:divBdr>
                <w:top w:val="none" w:sz="0" w:space="0" w:color="auto"/>
                <w:left w:val="none" w:sz="0" w:space="0" w:color="auto"/>
                <w:bottom w:val="none" w:sz="0" w:space="0" w:color="auto"/>
                <w:right w:val="none" w:sz="0" w:space="0" w:color="auto"/>
              </w:divBdr>
            </w:div>
            <w:div w:id="1064448110">
              <w:marLeft w:val="0"/>
              <w:marRight w:val="0"/>
              <w:marTop w:val="0"/>
              <w:marBottom w:val="0"/>
              <w:divBdr>
                <w:top w:val="none" w:sz="0" w:space="0" w:color="auto"/>
                <w:left w:val="none" w:sz="0" w:space="0" w:color="auto"/>
                <w:bottom w:val="none" w:sz="0" w:space="0" w:color="auto"/>
                <w:right w:val="none" w:sz="0" w:space="0" w:color="auto"/>
              </w:divBdr>
            </w:div>
            <w:div w:id="1452824113">
              <w:marLeft w:val="0"/>
              <w:marRight w:val="0"/>
              <w:marTop w:val="0"/>
              <w:marBottom w:val="0"/>
              <w:divBdr>
                <w:top w:val="none" w:sz="0" w:space="0" w:color="auto"/>
                <w:left w:val="none" w:sz="0" w:space="0" w:color="auto"/>
                <w:bottom w:val="none" w:sz="0" w:space="0" w:color="auto"/>
                <w:right w:val="none" w:sz="0" w:space="0" w:color="auto"/>
              </w:divBdr>
            </w:div>
            <w:div w:id="2119251466">
              <w:marLeft w:val="0"/>
              <w:marRight w:val="0"/>
              <w:marTop w:val="0"/>
              <w:marBottom w:val="0"/>
              <w:divBdr>
                <w:top w:val="none" w:sz="0" w:space="0" w:color="auto"/>
                <w:left w:val="none" w:sz="0" w:space="0" w:color="auto"/>
                <w:bottom w:val="none" w:sz="0" w:space="0" w:color="auto"/>
                <w:right w:val="none" w:sz="0" w:space="0" w:color="auto"/>
              </w:divBdr>
            </w:div>
          </w:divsChild>
        </w:div>
        <w:div w:id="1490753241">
          <w:marLeft w:val="0"/>
          <w:marRight w:val="0"/>
          <w:marTop w:val="0"/>
          <w:marBottom w:val="0"/>
          <w:divBdr>
            <w:top w:val="none" w:sz="0" w:space="0" w:color="auto"/>
            <w:left w:val="none" w:sz="0" w:space="0" w:color="auto"/>
            <w:bottom w:val="none" w:sz="0" w:space="0" w:color="auto"/>
            <w:right w:val="none" w:sz="0" w:space="0" w:color="auto"/>
          </w:divBdr>
        </w:div>
        <w:div w:id="1564174063">
          <w:marLeft w:val="0"/>
          <w:marRight w:val="0"/>
          <w:marTop w:val="0"/>
          <w:marBottom w:val="0"/>
          <w:divBdr>
            <w:top w:val="none" w:sz="0" w:space="0" w:color="auto"/>
            <w:left w:val="none" w:sz="0" w:space="0" w:color="auto"/>
            <w:bottom w:val="none" w:sz="0" w:space="0" w:color="auto"/>
            <w:right w:val="none" w:sz="0" w:space="0" w:color="auto"/>
          </w:divBdr>
        </w:div>
      </w:divsChild>
    </w:div>
    <w:div w:id="518273150">
      <w:bodyDiv w:val="1"/>
      <w:marLeft w:val="0"/>
      <w:marRight w:val="0"/>
      <w:marTop w:val="0"/>
      <w:marBottom w:val="0"/>
      <w:divBdr>
        <w:top w:val="none" w:sz="0" w:space="0" w:color="auto"/>
        <w:left w:val="none" w:sz="0" w:space="0" w:color="auto"/>
        <w:bottom w:val="none" w:sz="0" w:space="0" w:color="auto"/>
        <w:right w:val="none" w:sz="0" w:space="0" w:color="auto"/>
      </w:divBdr>
      <w:divsChild>
        <w:div w:id="531235592">
          <w:marLeft w:val="0"/>
          <w:marRight w:val="0"/>
          <w:marTop w:val="0"/>
          <w:marBottom w:val="0"/>
          <w:divBdr>
            <w:top w:val="none" w:sz="0" w:space="0" w:color="auto"/>
            <w:left w:val="none" w:sz="0" w:space="0" w:color="auto"/>
            <w:bottom w:val="none" w:sz="0" w:space="0" w:color="auto"/>
            <w:right w:val="none" w:sz="0" w:space="0" w:color="auto"/>
          </w:divBdr>
        </w:div>
        <w:div w:id="985550554">
          <w:marLeft w:val="0"/>
          <w:marRight w:val="0"/>
          <w:marTop w:val="0"/>
          <w:marBottom w:val="0"/>
          <w:divBdr>
            <w:top w:val="none" w:sz="0" w:space="0" w:color="auto"/>
            <w:left w:val="none" w:sz="0" w:space="0" w:color="auto"/>
            <w:bottom w:val="none" w:sz="0" w:space="0" w:color="auto"/>
            <w:right w:val="none" w:sz="0" w:space="0" w:color="auto"/>
          </w:divBdr>
        </w:div>
        <w:div w:id="1453330998">
          <w:marLeft w:val="0"/>
          <w:marRight w:val="0"/>
          <w:marTop w:val="0"/>
          <w:marBottom w:val="0"/>
          <w:divBdr>
            <w:top w:val="none" w:sz="0" w:space="0" w:color="auto"/>
            <w:left w:val="none" w:sz="0" w:space="0" w:color="auto"/>
            <w:bottom w:val="none" w:sz="0" w:space="0" w:color="auto"/>
            <w:right w:val="none" w:sz="0" w:space="0" w:color="auto"/>
          </w:divBdr>
          <w:divsChild>
            <w:div w:id="43019641">
              <w:marLeft w:val="0"/>
              <w:marRight w:val="0"/>
              <w:marTop w:val="0"/>
              <w:marBottom w:val="0"/>
              <w:divBdr>
                <w:top w:val="none" w:sz="0" w:space="0" w:color="auto"/>
                <w:left w:val="none" w:sz="0" w:space="0" w:color="auto"/>
                <w:bottom w:val="none" w:sz="0" w:space="0" w:color="auto"/>
                <w:right w:val="none" w:sz="0" w:space="0" w:color="auto"/>
              </w:divBdr>
            </w:div>
            <w:div w:id="851139804">
              <w:marLeft w:val="0"/>
              <w:marRight w:val="0"/>
              <w:marTop w:val="0"/>
              <w:marBottom w:val="0"/>
              <w:divBdr>
                <w:top w:val="none" w:sz="0" w:space="0" w:color="auto"/>
                <w:left w:val="none" w:sz="0" w:space="0" w:color="auto"/>
                <w:bottom w:val="none" w:sz="0" w:space="0" w:color="auto"/>
                <w:right w:val="none" w:sz="0" w:space="0" w:color="auto"/>
              </w:divBdr>
            </w:div>
            <w:div w:id="1578590169">
              <w:marLeft w:val="0"/>
              <w:marRight w:val="0"/>
              <w:marTop w:val="0"/>
              <w:marBottom w:val="0"/>
              <w:divBdr>
                <w:top w:val="none" w:sz="0" w:space="0" w:color="auto"/>
                <w:left w:val="none" w:sz="0" w:space="0" w:color="auto"/>
                <w:bottom w:val="none" w:sz="0" w:space="0" w:color="auto"/>
                <w:right w:val="none" w:sz="0" w:space="0" w:color="auto"/>
              </w:divBdr>
            </w:div>
            <w:div w:id="1631782846">
              <w:marLeft w:val="0"/>
              <w:marRight w:val="0"/>
              <w:marTop w:val="0"/>
              <w:marBottom w:val="0"/>
              <w:divBdr>
                <w:top w:val="none" w:sz="0" w:space="0" w:color="auto"/>
                <w:left w:val="none" w:sz="0" w:space="0" w:color="auto"/>
                <w:bottom w:val="none" w:sz="0" w:space="0" w:color="auto"/>
                <w:right w:val="none" w:sz="0" w:space="0" w:color="auto"/>
              </w:divBdr>
            </w:div>
            <w:div w:id="1663241569">
              <w:marLeft w:val="0"/>
              <w:marRight w:val="0"/>
              <w:marTop w:val="0"/>
              <w:marBottom w:val="0"/>
              <w:divBdr>
                <w:top w:val="none" w:sz="0" w:space="0" w:color="auto"/>
                <w:left w:val="none" w:sz="0" w:space="0" w:color="auto"/>
                <w:bottom w:val="none" w:sz="0" w:space="0" w:color="auto"/>
                <w:right w:val="none" w:sz="0" w:space="0" w:color="auto"/>
              </w:divBdr>
            </w:div>
            <w:div w:id="19566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5629849">
      <w:bodyDiv w:val="1"/>
      <w:marLeft w:val="0"/>
      <w:marRight w:val="0"/>
      <w:marTop w:val="0"/>
      <w:marBottom w:val="0"/>
      <w:divBdr>
        <w:top w:val="none" w:sz="0" w:space="0" w:color="auto"/>
        <w:left w:val="none" w:sz="0" w:space="0" w:color="auto"/>
        <w:bottom w:val="none" w:sz="0" w:space="0" w:color="auto"/>
        <w:right w:val="none" w:sz="0" w:space="0" w:color="auto"/>
      </w:divBdr>
    </w:div>
    <w:div w:id="21085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24.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5AIRPNAIUNRU-859666464-15210</_dlc_DocId>
    <_dlc_DocIdUrl xmlns="71c5aaf6-e6ce-465b-b873-5148d2a4c105">
      <Url>https://nokia.sharepoint.com/sites/c5g/e2earch/_layouts/15/DocIdRedir.aspx?ID=5AIRPNAIUNRU-859666464-15210</Url>
      <Description>5AIRPNAIUNRU-859666464-15210</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D26B186D-574E-4F91-9C4D-34C215A47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1270</Words>
  <Characters>7244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8498</CharactersWithSpaces>
  <SharedDoc>false</SharedDoc>
  <HyperlinkBase/>
  <HLinks>
    <vt:vector size="6" baseType="variant">
      <vt:variant>
        <vt:i4>2752600</vt:i4>
      </vt:variant>
      <vt:variant>
        <vt:i4>0</vt:i4>
      </vt:variant>
      <vt:variant>
        <vt:i4>0</vt:i4>
      </vt:variant>
      <vt:variant>
        <vt:i4>5</vt:i4>
      </vt:variant>
      <vt:variant>
        <vt:lpwstr>mailto:panagiotis.spapis@nokia.com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181</cp:revision>
  <dcterms:created xsi:type="dcterms:W3CDTF">2016-08-12T04:53:00Z</dcterms:created>
  <dcterms:modified xsi:type="dcterms:W3CDTF">2023-09-29T07:23:00Z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07064fe4-6704-43f8-8e7c-37bd66d1ca7b</vt:lpwstr>
  </property>
  <property fmtid="{D5CDD505-2E9C-101B-9397-08002B2CF9AE}" pid="4" name="MediaServiceImageTags">
    <vt:lpwstr/>
  </property>
</Properties>
</file>